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0795" w14:textId="15022141" w:rsidR="00306035" w:rsidRDefault="00EA05BF" w:rsidP="001C2BE1">
      <w:pPr>
        <w:spacing w:before="360" w:after="360" w:line="276" w:lineRule="auto"/>
        <w:jc w:val="center"/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</w:pPr>
      <w:r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>Studenci muszą dorabiać. 6 z 10 wyda na utrzymanie nawet 3 tys. złotych</w:t>
      </w:r>
      <w:r w:rsidR="0015368A"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 xml:space="preserve"> miesięcznie</w:t>
      </w:r>
    </w:p>
    <w:p w14:paraId="60C3815D" w14:textId="625CECB4" w:rsidR="00240D96" w:rsidRDefault="00A16C02" w:rsidP="00C97288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Nie samą nauką żyje człowiek. Wiedzą o tym studenci</w:t>
      </w:r>
      <w:r w:rsidR="00400DAD">
        <w:rPr>
          <w:rFonts w:ascii="Century Gothic" w:eastAsia="Century Gothic" w:hAnsi="Century Gothic" w:cs="Century Gothic"/>
          <w:b/>
          <w:bCs/>
          <w:sz w:val="21"/>
          <w:szCs w:val="21"/>
        </w:rPr>
        <w:t>,</w:t>
      </w:r>
      <w:r w:rsidR="002C082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na których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już za kilka tygodni </w:t>
      </w:r>
      <w:r w:rsidR="002C082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czekają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wyzwania</w:t>
      </w:r>
      <w:r w:rsidR="00E757AD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nie tylko</w:t>
      </w:r>
      <w:r w:rsidR="00B15722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E757AD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edukacyjnym charakterze. Z badania Tikrow, aplikacji </w:t>
      </w:r>
      <w:r w:rsidR="00B15722">
        <w:rPr>
          <w:rFonts w:ascii="Century Gothic" w:eastAsia="Century Gothic" w:hAnsi="Century Gothic" w:cs="Century Gothic"/>
          <w:b/>
          <w:bCs/>
          <w:sz w:val="21"/>
          <w:szCs w:val="21"/>
        </w:rPr>
        <w:t>z ofertami pracy natychmiastowej</w:t>
      </w:r>
      <w:r w:rsidR="00C45C0F">
        <w:rPr>
          <w:rFonts w:ascii="Century Gothic" w:eastAsia="Century Gothic" w:hAnsi="Century Gothic" w:cs="Century Gothic"/>
          <w:b/>
          <w:bCs/>
          <w:sz w:val="21"/>
          <w:szCs w:val="21"/>
        </w:rPr>
        <w:t>,</w:t>
      </w:r>
      <w:r w:rsidR="00B15722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wynika, że</w:t>
      </w:r>
      <w:r w:rsidR="005C04DC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E907EB">
        <w:rPr>
          <w:rFonts w:ascii="Century Gothic" w:eastAsia="Century Gothic" w:hAnsi="Century Gothic" w:cs="Century Gothic"/>
          <w:b/>
          <w:bCs/>
          <w:sz w:val="21"/>
          <w:szCs w:val="21"/>
        </w:rPr>
        <w:t>59 proc. studentów wyda na swoje utrzymanie w nadchodzącym roku akademickim od 1,5</w:t>
      </w:r>
      <w:r w:rsidR="00FF45D2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tys. zł</w:t>
      </w:r>
      <w:r w:rsidR="00E907EB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do nawet 3 tys. zł miesięcznie. </w:t>
      </w:r>
      <w:r w:rsidR="003B2FC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Do tego </w:t>
      </w:r>
      <w:r w:rsidR="00400DAD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30 proc. uczniów szkół wyższych nie </w:t>
      </w:r>
      <w:r w:rsidR="003B2FC9">
        <w:rPr>
          <w:rFonts w:ascii="Century Gothic" w:eastAsia="Century Gothic" w:hAnsi="Century Gothic" w:cs="Century Gothic"/>
          <w:b/>
          <w:bCs/>
          <w:sz w:val="21"/>
          <w:szCs w:val="21"/>
        </w:rPr>
        <w:t>korzysta z</w:t>
      </w:r>
      <w:r w:rsidR="00400DAD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3B2FC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finansowej </w:t>
      </w:r>
      <w:r w:rsidR="00400DAD">
        <w:rPr>
          <w:rFonts w:ascii="Century Gothic" w:eastAsia="Century Gothic" w:hAnsi="Century Gothic" w:cs="Century Gothic"/>
          <w:b/>
          <w:bCs/>
          <w:sz w:val="21"/>
          <w:szCs w:val="21"/>
        </w:rPr>
        <w:t>pomoc</w:t>
      </w:r>
      <w:r w:rsidR="009A5760"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 w:rsidR="00400DAD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najbliższych.</w:t>
      </w:r>
      <w:r w:rsidR="00E907EB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B64C55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We wrześniu trwa więc nie tylko poszukiwanie </w:t>
      </w:r>
      <w:r w:rsidR="00FF45D2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mieszkań </w:t>
      </w:r>
      <w:r w:rsidR="00B64C55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czy miejsc w akademikach, ale </w:t>
      </w:r>
      <w:r w:rsidR="0093026D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także </w:t>
      </w:r>
      <w:r w:rsidR="00B64C55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giełda pracy, </w:t>
      </w:r>
      <w:r w:rsidR="00C7220B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dzięki </w:t>
      </w:r>
      <w:r w:rsidR="00B64C55">
        <w:rPr>
          <w:rFonts w:ascii="Century Gothic" w:eastAsia="Century Gothic" w:hAnsi="Century Gothic" w:cs="Century Gothic"/>
          <w:b/>
          <w:bCs/>
          <w:sz w:val="21"/>
          <w:szCs w:val="21"/>
        </w:rPr>
        <w:t>któr</w:t>
      </w:r>
      <w:r w:rsidR="00C7220B">
        <w:rPr>
          <w:rFonts w:ascii="Century Gothic" w:eastAsia="Century Gothic" w:hAnsi="Century Gothic" w:cs="Century Gothic"/>
          <w:b/>
          <w:bCs/>
          <w:sz w:val="21"/>
          <w:szCs w:val="21"/>
        </w:rPr>
        <w:t>ej</w:t>
      </w:r>
      <w:r w:rsidR="00B64C55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studenci podreperują swój napięty budżet</w:t>
      </w:r>
      <w:r w:rsidR="00C7220B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w najbliższych miesiącach</w:t>
      </w:r>
      <w:r w:rsidR="00B64C55">
        <w:rPr>
          <w:rFonts w:ascii="Century Gothic" w:eastAsia="Century Gothic" w:hAnsi="Century Gothic" w:cs="Century Gothic"/>
          <w:b/>
          <w:bCs/>
          <w:sz w:val="21"/>
          <w:szCs w:val="21"/>
        </w:rPr>
        <w:t>.</w:t>
      </w:r>
    </w:p>
    <w:p w14:paraId="5624D647" w14:textId="6E42E029" w:rsidR="00AA21B1" w:rsidRPr="00397903" w:rsidRDefault="007766BF" w:rsidP="006222AC">
      <w:pPr>
        <w:spacing w:after="120" w:line="360" w:lineRule="auto"/>
        <w:rPr>
          <w:rFonts w:ascii="Century Gothic" w:eastAsia="Century Gothic" w:hAnsi="Century Gothic" w:cs="Century Gothic"/>
          <w:i/>
          <w:sz w:val="21"/>
          <w:szCs w:val="21"/>
        </w:rPr>
      </w:pPr>
      <w:r w:rsidRPr="00D17EEA">
        <w:rPr>
          <w:rFonts w:ascii="Century Gothic" w:hAnsi="Century Gothic"/>
          <w:sz w:val="21"/>
          <w:szCs w:val="21"/>
        </w:rPr>
        <w:t>–</w:t>
      </w:r>
      <w:r w:rsidR="00A0775E" w:rsidRPr="00A41218"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  <w:r w:rsidR="00F75E5A">
        <w:rPr>
          <w:rFonts w:ascii="Century Gothic" w:eastAsia="Century Gothic" w:hAnsi="Century Gothic" w:cs="Century Gothic"/>
          <w:i/>
          <w:sz w:val="21"/>
          <w:szCs w:val="21"/>
        </w:rPr>
        <w:t xml:space="preserve">W minionym roku akademickim w Polsce studiowało około </w:t>
      </w:r>
      <w:r w:rsidR="008F53DD">
        <w:rPr>
          <w:rFonts w:ascii="Century Gothic" w:eastAsia="Century Gothic" w:hAnsi="Century Gothic" w:cs="Century Gothic"/>
          <w:i/>
          <w:sz w:val="21"/>
          <w:szCs w:val="21"/>
        </w:rPr>
        <w:t>1,2 mln ludzi.</w:t>
      </w:r>
      <w:r w:rsidR="00136990">
        <w:rPr>
          <w:rFonts w:ascii="Century Gothic" w:eastAsia="Century Gothic" w:hAnsi="Century Gothic" w:cs="Century Gothic"/>
          <w:i/>
          <w:sz w:val="21"/>
          <w:szCs w:val="21"/>
        </w:rPr>
        <w:t xml:space="preserve"> To ogromna grupa społeczna, przed którą stoi szereg wyz</w:t>
      </w:r>
      <w:r w:rsidR="00A72486">
        <w:rPr>
          <w:rFonts w:ascii="Century Gothic" w:eastAsia="Century Gothic" w:hAnsi="Century Gothic" w:cs="Century Gothic"/>
          <w:i/>
          <w:sz w:val="21"/>
          <w:szCs w:val="21"/>
        </w:rPr>
        <w:t xml:space="preserve">wań </w:t>
      </w:r>
      <w:r w:rsidR="0028172C">
        <w:rPr>
          <w:rFonts w:ascii="Century Gothic" w:eastAsia="Century Gothic" w:hAnsi="Century Gothic" w:cs="Century Gothic"/>
          <w:i/>
          <w:sz w:val="21"/>
          <w:szCs w:val="21"/>
        </w:rPr>
        <w:t xml:space="preserve">nie tylko </w:t>
      </w:r>
      <w:r w:rsidR="00A72486">
        <w:rPr>
          <w:rFonts w:ascii="Century Gothic" w:eastAsia="Century Gothic" w:hAnsi="Century Gothic" w:cs="Century Gothic"/>
          <w:i/>
          <w:sz w:val="21"/>
          <w:szCs w:val="21"/>
        </w:rPr>
        <w:t>natury</w:t>
      </w:r>
      <w:r w:rsidR="0028172C">
        <w:rPr>
          <w:rFonts w:ascii="Century Gothic" w:eastAsia="Century Gothic" w:hAnsi="Century Gothic" w:cs="Century Gothic"/>
          <w:i/>
          <w:sz w:val="21"/>
          <w:szCs w:val="21"/>
        </w:rPr>
        <w:t xml:space="preserve"> edukacyjnej, ale również</w:t>
      </w:r>
      <w:r w:rsidR="00A72486">
        <w:rPr>
          <w:rFonts w:ascii="Century Gothic" w:eastAsia="Century Gothic" w:hAnsi="Century Gothic" w:cs="Century Gothic"/>
          <w:i/>
          <w:sz w:val="21"/>
          <w:szCs w:val="21"/>
        </w:rPr>
        <w:t xml:space="preserve"> finansowej. Znaczna część z nich opuszcza rodzinne miejscowości i musi utrzymać się w innej części kraju.</w:t>
      </w:r>
      <w:r w:rsidR="00B360F0"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  <w:r w:rsidR="0059603C">
        <w:rPr>
          <w:rFonts w:ascii="Century Gothic" w:eastAsia="Century Gothic" w:hAnsi="Century Gothic" w:cs="Century Gothic"/>
          <w:i/>
          <w:sz w:val="21"/>
          <w:szCs w:val="21"/>
        </w:rPr>
        <w:t>Zgodnie z naszym badaniem niemal co trzeci student</w:t>
      </w:r>
      <w:r w:rsidR="009C747E">
        <w:rPr>
          <w:rFonts w:ascii="Century Gothic" w:eastAsia="Century Gothic" w:hAnsi="Century Gothic" w:cs="Century Gothic"/>
          <w:i/>
          <w:sz w:val="21"/>
          <w:szCs w:val="21"/>
        </w:rPr>
        <w:t xml:space="preserve"> jest zdany wyłącznie na siebie i praca</w:t>
      </w:r>
      <w:r w:rsidR="006667F8">
        <w:rPr>
          <w:rFonts w:ascii="Century Gothic" w:eastAsia="Century Gothic" w:hAnsi="Century Gothic" w:cs="Century Gothic"/>
          <w:i/>
          <w:sz w:val="21"/>
          <w:szCs w:val="21"/>
        </w:rPr>
        <w:t>,</w:t>
      </w:r>
      <w:r w:rsidR="009C747E">
        <w:rPr>
          <w:rFonts w:ascii="Century Gothic" w:eastAsia="Century Gothic" w:hAnsi="Century Gothic" w:cs="Century Gothic"/>
          <w:i/>
          <w:sz w:val="21"/>
          <w:szCs w:val="21"/>
        </w:rPr>
        <w:t xml:space="preserve"> tuż obok nauki</w:t>
      </w:r>
      <w:r w:rsidR="006667F8">
        <w:rPr>
          <w:rFonts w:ascii="Century Gothic" w:eastAsia="Century Gothic" w:hAnsi="Century Gothic" w:cs="Century Gothic"/>
          <w:i/>
          <w:sz w:val="21"/>
          <w:szCs w:val="21"/>
        </w:rPr>
        <w:t>,</w:t>
      </w:r>
      <w:r w:rsidR="009C747E">
        <w:rPr>
          <w:rFonts w:ascii="Century Gothic" w:eastAsia="Century Gothic" w:hAnsi="Century Gothic" w:cs="Century Gothic"/>
          <w:i/>
          <w:sz w:val="21"/>
          <w:szCs w:val="21"/>
        </w:rPr>
        <w:t xml:space="preserve"> staje się jego naturalną potrzebą.</w:t>
      </w:r>
      <w:r w:rsidR="00FE76EB"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  <w:r w:rsidR="004A6E24">
        <w:rPr>
          <w:rFonts w:ascii="Century Gothic" w:eastAsia="Century Gothic" w:hAnsi="Century Gothic" w:cs="Century Gothic"/>
          <w:i/>
          <w:sz w:val="21"/>
          <w:szCs w:val="21"/>
        </w:rPr>
        <w:t xml:space="preserve">Tu pojawia się przestrzeń dla pracodawców, którzy umiejętnie konstruując </w:t>
      </w:r>
      <w:r w:rsidR="00242842">
        <w:rPr>
          <w:rFonts w:ascii="Century Gothic" w:eastAsia="Century Gothic" w:hAnsi="Century Gothic" w:cs="Century Gothic"/>
          <w:i/>
          <w:sz w:val="21"/>
          <w:szCs w:val="21"/>
        </w:rPr>
        <w:t>swoje grafiki i uelastyczniając planowanie z</w:t>
      </w:r>
      <w:r w:rsidR="00E47B9E">
        <w:rPr>
          <w:rFonts w:ascii="Century Gothic" w:eastAsia="Century Gothic" w:hAnsi="Century Gothic" w:cs="Century Gothic"/>
          <w:i/>
          <w:sz w:val="21"/>
          <w:szCs w:val="21"/>
        </w:rPr>
        <w:t>adań</w:t>
      </w:r>
      <w:r w:rsidR="00320377">
        <w:rPr>
          <w:rFonts w:ascii="Century Gothic" w:eastAsia="Century Gothic" w:hAnsi="Century Gothic" w:cs="Century Gothic"/>
          <w:i/>
          <w:sz w:val="21"/>
          <w:szCs w:val="21"/>
        </w:rPr>
        <w:t>,</w:t>
      </w:r>
      <w:r w:rsidR="00E47B9E">
        <w:rPr>
          <w:rFonts w:ascii="Century Gothic" w:eastAsia="Century Gothic" w:hAnsi="Century Gothic" w:cs="Century Gothic"/>
          <w:i/>
          <w:sz w:val="21"/>
          <w:szCs w:val="21"/>
        </w:rPr>
        <w:t xml:space="preserve"> mogą wiele </w:t>
      </w:r>
      <w:r w:rsidR="00320377">
        <w:rPr>
          <w:rFonts w:ascii="Century Gothic" w:eastAsia="Century Gothic" w:hAnsi="Century Gothic" w:cs="Century Gothic"/>
          <w:i/>
          <w:sz w:val="21"/>
          <w:szCs w:val="21"/>
        </w:rPr>
        <w:t>zyskać zatrudniając</w:t>
      </w:r>
      <w:r w:rsidR="00E47B9E">
        <w:rPr>
          <w:rFonts w:ascii="Century Gothic" w:eastAsia="Century Gothic" w:hAnsi="Century Gothic" w:cs="Century Gothic"/>
          <w:i/>
          <w:sz w:val="21"/>
          <w:szCs w:val="21"/>
        </w:rPr>
        <w:t xml:space="preserve"> uczniów szkół wyższych.</w:t>
      </w:r>
      <w:r w:rsidR="005D0697">
        <w:rPr>
          <w:rFonts w:ascii="Century Gothic" w:eastAsia="Century Gothic" w:hAnsi="Century Gothic" w:cs="Century Gothic"/>
          <w:i/>
          <w:sz w:val="21"/>
          <w:szCs w:val="21"/>
        </w:rPr>
        <w:t xml:space="preserve"> Na liście korzyści</w:t>
      </w:r>
      <w:r w:rsidR="00B12EB6">
        <w:rPr>
          <w:rFonts w:ascii="Century Gothic" w:eastAsia="Century Gothic" w:hAnsi="Century Gothic" w:cs="Century Gothic"/>
          <w:i/>
          <w:sz w:val="21"/>
          <w:szCs w:val="21"/>
        </w:rPr>
        <w:t xml:space="preserve"> można wskazać</w:t>
      </w:r>
      <w:r w:rsidR="0061678D">
        <w:rPr>
          <w:rFonts w:ascii="Century Gothic" w:eastAsia="Century Gothic" w:hAnsi="Century Gothic" w:cs="Century Gothic"/>
          <w:i/>
          <w:sz w:val="21"/>
          <w:szCs w:val="21"/>
        </w:rPr>
        <w:t xml:space="preserve"> dużą dostępność studentów, którzy </w:t>
      </w:r>
      <w:r w:rsidR="0006692E">
        <w:rPr>
          <w:rFonts w:ascii="Century Gothic" w:eastAsia="Century Gothic" w:hAnsi="Century Gothic" w:cs="Century Gothic"/>
          <w:i/>
          <w:sz w:val="21"/>
          <w:szCs w:val="21"/>
        </w:rPr>
        <w:t>łatwo dopasowują się do założeń pracy natychmiastowej</w:t>
      </w:r>
      <w:r w:rsidR="003B2FC9">
        <w:rPr>
          <w:rFonts w:ascii="Century Gothic" w:eastAsia="Century Gothic" w:hAnsi="Century Gothic" w:cs="Century Gothic"/>
          <w:i/>
          <w:sz w:val="21"/>
          <w:szCs w:val="21"/>
        </w:rPr>
        <w:t xml:space="preserve"> oraz ich motywację, by dorobić do rosnących kosztów życia</w:t>
      </w:r>
      <w:r w:rsidR="0006692E"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  <w:r w:rsidR="00AA21B1" w:rsidRPr="00D17EEA">
        <w:rPr>
          <w:rFonts w:ascii="Century Gothic" w:hAnsi="Century Gothic"/>
          <w:sz w:val="21"/>
          <w:szCs w:val="21"/>
        </w:rPr>
        <w:t xml:space="preserve">– </w:t>
      </w:r>
      <w:r w:rsidR="00CE7A4C">
        <w:rPr>
          <w:rFonts w:ascii="Century Gothic" w:hAnsi="Century Gothic"/>
          <w:sz w:val="21"/>
          <w:szCs w:val="21"/>
        </w:rPr>
        <w:t>podkreśla</w:t>
      </w:r>
      <w:r w:rsidR="00AA21B1" w:rsidRPr="00D17EEA">
        <w:rPr>
          <w:rFonts w:ascii="Century Gothic" w:hAnsi="Century Gothic"/>
          <w:sz w:val="21"/>
          <w:szCs w:val="21"/>
        </w:rPr>
        <w:t xml:space="preserve"> </w:t>
      </w:r>
      <w:r w:rsidR="00AA21B1"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Krzysztof Trębski, członek zarządu Tikrow.</w:t>
      </w:r>
    </w:p>
    <w:p w14:paraId="2542454A" w14:textId="653AA142" w:rsidR="004D5A70" w:rsidRDefault="008F3AA4" w:rsidP="001C00BB">
      <w:pPr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Wiedza ma swoją cenę</w:t>
      </w:r>
    </w:p>
    <w:p w14:paraId="09213C1C" w14:textId="48BFB968" w:rsidR="00A863CD" w:rsidRDefault="008F3AA4" w:rsidP="001C00BB">
      <w:pPr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Zdobywanie wykształcenia nawet na teoretycznie bezpłatnej, państwowej uczelni</w:t>
      </w:r>
      <w:r w:rsidR="0043451D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, ma swoją cenę. Jej miarą są podstawowe opłaty, które czekają studentów opuszczających dom rodzinny i rozpoczynających studia poza miejscem zamieszkania. </w:t>
      </w:r>
      <w:r w:rsidR="004D21EB">
        <w:rPr>
          <w:rFonts w:ascii="Century Gothic" w:eastAsia="Times New Roman" w:hAnsi="Century Gothic" w:cs="Times New Roman"/>
          <w:sz w:val="21"/>
          <w:szCs w:val="21"/>
          <w:lang w:eastAsia="pl-PL"/>
        </w:rPr>
        <w:t>Na tej liście znajdują się m.in. miejsce w akademiku lub pokój na stancji</w:t>
      </w:r>
      <w:r w:rsidR="004C238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, wyżywienie czy bilety komunikacji miejskiej. Do tego dochodzą </w:t>
      </w:r>
      <w:r w:rsidR="000553CA">
        <w:rPr>
          <w:rFonts w:ascii="Century Gothic" w:eastAsia="Times New Roman" w:hAnsi="Century Gothic" w:cs="Times New Roman"/>
          <w:sz w:val="21"/>
          <w:szCs w:val="21"/>
          <w:lang w:eastAsia="pl-PL"/>
        </w:rPr>
        <w:t>drobniejsze</w:t>
      </w:r>
      <w:r w:rsidR="004C238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wydatki jak abo</w:t>
      </w:r>
      <w:r w:rsidR="00236211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nament </w:t>
      </w:r>
      <w:r w:rsidR="000553CA">
        <w:rPr>
          <w:rFonts w:ascii="Century Gothic" w:eastAsia="Times New Roman" w:hAnsi="Century Gothic" w:cs="Times New Roman"/>
          <w:sz w:val="21"/>
          <w:szCs w:val="21"/>
          <w:lang w:eastAsia="pl-PL"/>
        </w:rPr>
        <w:t>t</w:t>
      </w:r>
      <w:r w:rsidR="00236211">
        <w:rPr>
          <w:rFonts w:ascii="Century Gothic" w:eastAsia="Times New Roman" w:hAnsi="Century Gothic" w:cs="Times New Roman"/>
          <w:sz w:val="21"/>
          <w:szCs w:val="21"/>
          <w:lang w:eastAsia="pl-PL"/>
        </w:rPr>
        <w:t>elefo</w:t>
      </w:r>
      <w:r w:rsidR="000553CA">
        <w:rPr>
          <w:rFonts w:ascii="Century Gothic" w:eastAsia="Times New Roman" w:hAnsi="Century Gothic" w:cs="Times New Roman"/>
          <w:sz w:val="21"/>
          <w:szCs w:val="21"/>
          <w:lang w:eastAsia="pl-PL"/>
        </w:rPr>
        <w:t>niczny,</w:t>
      </w:r>
      <w:r w:rsidR="00236211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 w:rsidR="000553CA">
        <w:rPr>
          <w:rFonts w:ascii="Century Gothic" w:eastAsia="Times New Roman" w:hAnsi="Century Gothic" w:cs="Times New Roman"/>
          <w:sz w:val="21"/>
          <w:szCs w:val="21"/>
          <w:lang w:eastAsia="pl-PL"/>
        </w:rPr>
        <w:t>opłata za</w:t>
      </w:r>
      <w:r w:rsidR="00236211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proofErr w:type="spellStart"/>
      <w:r w:rsidR="00236211">
        <w:rPr>
          <w:rFonts w:ascii="Century Gothic" w:eastAsia="Times New Roman" w:hAnsi="Century Gothic" w:cs="Times New Roman"/>
          <w:sz w:val="21"/>
          <w:szCs w:val="21"/>
          <w:lang w:eastAsia="pl-PL"/>
        </w:rPr>
        <w:t>internet</w:t>
      </w:r>
      <w:proofErr w:type="spellEnd"/>
      <w:r w:rsidR="00236211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 w:rsidR="00FF3322">
        <w:rPr>
          <w:rFonts w:ascii="Century Gothic" w:eastAsia="Times New Roman" w:hAnsi="Century Gothic" w:cs="Times New Roman"/>
          <w:sz w:val="21"/>
          <w:szCs w:val="21"/>
          <w:lang w:eastAsia="pl-PL"/>
        </w:rPr>
        <w:t>czy specjalistyczne kursy.</w:t>
      </w:r>
    </w:p>
    <w:p w14:paraId="4067AC43" w14:textId="5242FFC4" w:rsidR="00695F05" w:rsidRDefault="00695F05" w:rsidP="001C00BB">
      <w:pPr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Z badania </w:t>
      </w:r>
      <w:r w:rsidR="000553CA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przeprowadzonego przez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Tikrow wynika, że</w:t>
      </w:r>
      <w:r w:rsidR="0011774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większość studentów zamknie swoje miesięczne rachunki w widełkach od 1,5 do nawet 3 tys. zł miesięcznie. Na tę grupę </w:t>
      </w:r>
      <w:r w:rsidR="00B93405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składa się </w:t>
      </w:r>
      <w:r w:rsidR="00307787">
        <w:rPr>
          <w:rFonts w:ascii="Century Gothic" w:eastAsia="Times New Roman" w:hAnsi="Century Gothic" w:cs="Times New Roman"/>
          <w:sz w:val="21"/>
          <w:szCs w:val="21"/>
          <w:lang w:eastAsia="pl-PL"/>
        </w:rPr>
        <w:t>30 proc. ankietowanych, których wydatki</w:t>
      </w:r>
      <w:r w:rsidR="00CD78D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wyniosą od 1,5 do 2 tys. zł</w:t>
      </w:r>
      <w:r w:rsidR="000553CA">
        <w:rPr>
          <w:rFonts w:ascii="Century Gothic" w:eastAsia="Times New Roman" w:hAnsi="Century Gothic" w:cs="Times New Roman"/>
          <w:sz w:val="21"/>
          <w:szCs w:val="21"/>
          <w:lang w:eastAsia="pl-PL"/>
        </w:rPr>
        <w:t>,</w:t>
      </w:r>
      <w:r w:rsidR="00CD78D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oraz 29 proc. respondentów</w:t>
      </w:r>
      <w:r w:rsidR="00F3476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z miesięcznymi kosztami życia od 2 do 3 tys. zł.</w:t>
      </w:r>
      <w:r w:rsidR="004C1C06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17 proc. studentów wyda miesięcznie </w:t>
      </w:r>
      <w:r w:rsidR="004218C4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od 1 do 1,5 tys. zł. 15 proc. </w:t>
      </w:r>
      <w:r w:rsidR="000553CA">
        <w:rPr>
          <w:rFonts w:ascii="Century Gothic" w:eastAsia="Times New Roman" w:hAnsi="Century Gothic" w:cs="Times New Roman"/>
          <w:sz w:val="21"/>
          <w:szCs w:val="21"/>
          <w:lang w:eastAsia="pl-PL"/>
        </w:rPr>
        <w:t>ankietowanych</w:t>
      </w:r>
      <w:r w:rsidR="00DE272B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na swoje utrzymanie poświęc</w:t>
      </w:r>
      <w:r w:rsidR="00C35521">
        <w:rPr>
          <w:rFonts w:ascii="Century Gothic" w:eastAsia="Times New Roman" w:hAnsi="Century Gothic" w:cs="Times New Roman"/>
          <w:sz w:val="21"/>
          <w:szCs w:val="21"/>
          <w:lang w:eastAsia="pl-PL"/>
        </w:rPr>
        <w:t>i</w:t>
      </w:r>
      <w:r w:rsidR="00DE272B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ponad 3 tys. zł w skali miesiąca.</w:t>
      </w:r>
    </w:p>
    <w:p w14:paraId="07F5C187" w14:textId="76CCDFA8" w:rsidR="00E742B7" w:rsidRDefault="008F3AA4" w:rsidP="00E742B7">
      <w:pPr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Student pracy się nie boi</w:t>
      </w:r>
    </w:p>
    <w:p w14:paraId="395AA157" w14:textId="11CCC828" w:rsidR="009B4FA4" w:rsidRDefault="009B4FA4" w:rsidP="009B4FA4">
      <w:pPr>
        <w:spacing w:after="120" w:line="36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0D17EEA">
        <w:rPr>
          <w:rFonts w:ascii="Century Gothic" w:hAnsi="Century Gothic"/>
          <w:sz w:val="21"/>
          <w:szCs w:val="21"/>
        </w:rPr>
        <w:lastRenderedPageBreak/>
        <w:t>–</w:t>
      </w:r>
      <w:r>
        <w:rPr>
          <w:rFonts w:ascii="Century Gothic" w:hAnsi="Century Gothic"/>
          <w:sz w:val="21"/>
          <w:szCs w:val="21"/>
        </w:rPr>
        <w:t xml:space="preserve"> </w:t>
      </w:r>
      <w:r w:rsidR="005E02B9">
        <w:rPr>
          <w:rFonts w:ascii="Century Gothic" w:eastAsia="Century Gothic" w:hAnsi="Century Gothic" w:cs="Century Gothic"/>
          <w:i/>
          <w:sz w:val="21"/>
          <w:szCs w:val="21"/>
        </w:rPr>
        <w:t xml:space="preserve">Połączenie pracy ze studiami wymaga ogromnej dyscypliny i zorganizowania. Stąd studenci to doskonale zmotywowani pracownicy, którzy stanowią </w:t>
      </w:r>
      <w:r w:rsidR="00B36645">
        <w:rPr>
          <w:rFonts w:ascii="Century Gothic" w:eastAsia="Century Gothic" w:hAnsi="Century Gothic" w:cs="Century Gothic"/>
          <w:i/>
          <w:sz w:val="21"/>
          <w:szCs w:val="21"/>
        </w:rPr>
        <w:t xml:space="preserve">zdecydowaną większość </w:t>
      </w:r>
      <w:r w:rsidR="003B2FC9">
        <w:rPr>
          <w:rFonts w:ascii="Century Gothic" w:eastAsia="Century Gothic" w:hAnsi="Century Gothic" w:cs="Century Gothic"/>
          <w:i/>
          <w:sz w:val="21"/>
          <w:szCs w:val="21"/>
        </w:rPr>
        <w:t>realizujących</w:t>
      </w:r>
      <w:r w:rsidR="005E02B9">
        <w:rPr>
          <w:rFonts w:ascii="Century Gothic" w:eastAsia="Century Gothic" w:hAnsi="Century Gothic" w:cs="Century Gothic"/>
          <w:i/>
          <w:sz w:val="21"/>
          <w:szCs w:val="21"/>
        </w:rPr>
        <w:t xml:space="preserve"> zlecenia</w:t>
      </w:r>
      <w:r w:rsidR="003B2FC9">
        <w:rPr>
          <w:rFonts w:ascii="Century Gothic" w:eastAsia="Century Gothic" w:hAnsi="Century Gothic" w:cs="Century Gothic"/>
          <w:i/>
          <w:sz w:val="21"/>
          <w:szCs w:val="21"/>
        </w:rPr>
        <w:t xml:space="preserve"> wystawione przez pracodawców w aplikacji</w:t>
      </w:r>
      <w:r w:rsidR="005E02B9">
        <w:rPr>
          <w:rFonts w:ascii="Century Gothic" w:eastAsia="Century Gothic" w:hAnsi="Century Gothic" w:cs="Century Gothic"/>
          <w:i/>
          <w:sz w:val="21"/>
          <w:szCs w:val="21"/>
        </w:rPr>
        <w:t xml:space="preserve"> Tikrow. Łączenie pracy na dniówki z napiętym grafikiem na uczelni doskonale sprawdza się jako sposób na poprawę swojej sytuacji finansowej przez uczniów szkół wyższych</w:t>
      </w:r>
      <w:r w:rsidR="006D356F">
        <w:rPr>
          <w:rFonts w:ascii="Century Gothic" w:eastAsia="Century Gothic" w:hAnsi="Century Gothic" w:cs="Century Gothic"/>
          <w:i/>
          <w:sz w:val="21"/>
          <w:szCs w:val="21"/>
        </w:rPr>
        <w:t xml:space="preserve"> oraz umożliwia zdobycie doświadczenia wtedy, gdy etatowa praca nie wchodzi w grę</w:t>
      </w:r>
      <w:r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  <w:r w:rsidRPr="00D17EEA">
        <w:rPr>
          <w:rFonts w:ascii="Century Gothic" w:hAnsi="Century Gothic"/>
          <w:sz w:val="21"/>
          <w:szCs w:val="21"/>
        </w:rPr>
        <w:t xml:space="preserve">– </w:t>
      </w:r>
      <w:r>
        <w:rPr>
          <w:rFonts w:ascii="Century Gothic" w:hAnsi="Century Gothic"/>
          <w:sz w:val="21"/>
          <w:szCs w:val="21"/>
        </w:rPr>
        <w:t>zaznacza</w:t>
      </w:r>
      <w:r w:rsidRPr="00D17EEA">
        <w:rPr>
          <w:rFonts w:ascii="Century Gothic" w:hAnsi="Century Gothic"/>
          <w:sz w:val="21"/>
          <w:szCs w:val="21"/>
        </w:rPr>
        <w:t xml:space="preserve"> </w:t>
      </w:r>
      <w:r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Krzysztof Trębski, członek zarządu Tikrow.</w:t>
      </w:r>
    </w:p>
    <w:p w14:paraId="3503B325" w14:textId="35C92238" w:rsidR="003664C2" w:rsidRDefault="003664C2" w:rsidP="00664DF8">
      <w:pPr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Osoby dorabiające w modelu pracy natychmiastowej mają wiele motywacji. Z raportu Tikrow „Trendy rynku pracy dorywczej 2023. #PracaNatychmiastowa” wynika, że 53 proc. osób </w:t>
      </w:r>
      <w:r w:rsidR="00347631">
        <w:rPr>
          <w:rFonts w:ascii="Century Gothic" w:eastAsia="Times New Roman" w:hAnsi="Century Gothic" w:cs="Times New Roman"/>
          <w:sz w:val="21"/>
          <w:szCs w:val="21"/>
          <w:lang w:eastAsia="pl-PL"/>
        </w:rPr>
        <w:t>realizuje zlecenia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ze względu na zwiększone wydatki podczas specjalnych okazji jak święta czy urodziny. Zbieranie na konkretny, osobisty cel wskazuje dokładnie co druga osoba, a dla 48 proc. praca dorywcza to sposób na podstawowe wydatki związane z kosztami życia.</w:t>
      </w:r>
    </w:p>
    <w:p w14:paraId="5B76DC36" w14:textId="7740B24B" w:rsidR="00664DF8" w:rsidRPr="00397903" w:rsidRDefault="00664DF8" w:rsidP="009B4FA4">
      <w:pPr>
        <w:spacing w:after="120" w:line="360" w:lineRule="auto"/>
        <w:rPr>
          <w:rFonts w:ascii="Century Gothic" w:eastAsia="Century Gothic" w:hAnsi="Century Gothic" w:cs="Century Gothic"/>
          <w:i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 pracy natychmiastowej </w:t>
      </w:r>
      <w:r w:rsidR="003664C2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dorabiający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cenią </w:t>
      </w:r>
      <w:r w:rsidR="001028E4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sobie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przede wszystkim szybką wypłatę (87 proc.), możliwość dopasowania jej do grafiku zajęć (85 proc.) oraz szansę na poznanie specyfiki pracy na różnych stanowiskach i w wielu firmach (58 proc.).</w:t>
      </w:r>
    </w:p>
    <w:p w14:paraId="7127B7CC" w14:textId="11CEF541" w:rsidR="00CF7193" w:rsidRPr="00CF7193" w:rsidRDefault="00CF7193" w:rsidP="00BE29A8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CF7193">
        <w:rPr>
          <w:rFonts w:ascii="Century Gothic" w:hAnsi="Century Gothic"/>
          <w:b/>
          <w:bCs/>
          <w:sz w:val="20"/>
          <w:szCs w:val="20"/>
          <w:lang w:eastAsia="pl-PL"/>
        </w:rPr>
        <w:t>Metodologia: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="00C95595">
        <w:rPr>
          <w:rFonts w:ascii="Century Gothic" w:hAnsi="Century Gothic"/>
          <w:sz w:val="20"/>
          <w:szCs w:val="20"/>
          <w:lang w:eastAsia="pl-PL"/>
        </w:rPr>
        <w:t xml:space="preserve">dane </w:t>
      </w:r>
      <w:r w:rsidR="00187CAD">
        <w:rPr>
          <w:rFonts w:ascii="Century Gothic" w:hAnsi="Century Gothic"/>
          <w:sz w:val="20"/>
          <w:szCs w:val="20"/>
          <w:lang w:eastAsia="pl-PL"/>
        </w:rPr>
        <w:t>dot. wydatków</w:t>
      </w:r>
      <w:r w:rsidR="002E70D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C1225C">
        <w:rPr>
          <w:rFonts w:ascii="Century Gothic" w:hAnsi="Century Gothic"/>
          <w:sz w:val="20"/>
          <w:szCs w:val="20"/>
          <w:lang w:eastAsia="pl-PL"/>
        </w:rPr>
        <w:t>studentów</w:t>
      </w:r>
      <w:r w:rsidR="002E70D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C95595">
        <w:rPr>
          <w:rFonts w:ascii="Century Gothic" w:hAnsi="Century Gothic"/>
          <w:sz w:val="20"/>
          <w:szCs w:val="20"/>
          <w:lang w:eastAsia="pl-PL"/>
        </w:rPr>
        <w:t xml:space="preserve">zaprezentowane w </w:t>
      </w:r>
      <w:r w:rsidR="00C1225C">
        <w:rPr>
          <w:rFonts w:ascii="Century Gothic" w:hAnsi="Century Gothic"/>
          <w:sz w:val="20"/>
          <w:szCs w:val="20"/>
          <w:lang w:eastAsia="pl-PL"/>
        </w:rPr>
        <w:t xml:space="preserve">materiale prasowym </w:t>
      </w:r>
      <w:r w:rsidR="002D6D27">
        <w:rPr>
          <w:rFonts w:ascii="Century Gothic" w:hAnsi="Century Gothic"/>
          <w:sz w:val="20"/>
          <w:szCs w:val="20"/>
          <w:lang w:eastAsia="pl-PL"/>
        </w:rPr>
        <w:t>zosta</w:t>
      </w:r>
      <w:r w:rsidR="00DF03C3">
        <w:rPr>
          <w:rFonts w:ascii="Century Gothic" w:hAnsi="Century Gothic"/>
          <w:sz w:val="20"/>
          <w:szCs w:val="20"/>
          <w:lang w:eastAsia="pl-PL"/>
        </w:rPr>
        <w:t>ły zebrane pod koniec sierpnia</w:t>
      </w:r>
      <w:r w:rsidR="00C1225C">
        <w:rPr>
          <w:rFonts w:ascii="Century Gothic" w:hAnsi="Century Gothic"/>
          <w:sz w:val="20"/>
          <w:szCs w:val="20"/>
          <w:lang w:eastAsia="pl-PL"/>
        </w:rPr>
        <w:t xml:space="preserve"> br.</w:t>
      </w:r>
      <w:r w:rsidR="00DF03C3">
        <w:rPr>
          <w:rFonts w:ascii="Century Gothic" w:hAnsi="Century Gothic"/>
          <w:sz w:val="20"/>
          <w:szCs w:val="20"/>
          <w:lang w:eastAsia="pl-PL"/>
        </w:rPr>
        <w:t xml:space="preserve"> w </w:t>
      </w:r>
      <w:r w:rsidR="00D4201E">
        <w:rPr>
          <w:rFonts w:ascii="Century Gothic" w:hAnsi="Century Gothic"/>
          <w:sz w:val="20"/>
          <w:szCs w:val="20"/>
          <w:lang w:eastAsia="pl-PL"/>
        </w:rPr>
        <w:t xml:space="preserve">ramach badania ankietowego przeprowadzonego w </w:t>
      </w:r>
      <w:r w:rsidR="00DF03C3">
        <w:rPr>
          <w:rFonts w:ascii="Century Gothic" w:hAnsi="Century Gothic"/>
          <w:sz w:val="20"/>
          <w:szCs w:val="20"/>
          <w:lang w:eastAsia="pl-PL"/>
        </w:rPr>
        <w:t xml:space="preserve">aplikacji Tikrow </w:t>
      </w:r>
      <w:r w:rsidR="00EE60D2">
        <w:rPr>
          <w:rFonts w:ascii="Century Gothic" w:hAnsi="Century Gothic"/>
          <w:sz w:val="20"/>
          <w:szCs w:val="20"/>
          <w:lang w:eastAsia="pl-PL"/>
        </w:rPr>
        <w:t>na</w:t>
      </w:r>
      <w:r w:rsidR="00DF03C3">
        <w:rPr>
          <w:rFonts w:ascii="Century Gothic" w:hAnsi="Century Gothic"/>
          <w:sz w:val="20"/>
          <w:szCs w:val="20"/>
          <w:lang w:eastAsia="pl-PL"/>
        </w:rPr>
        <w:t xml:space="preserve"> grupie 500 respondentów </w:t>
      </w:r>
      <w:r w:rsidR="00EE60D2">
        <w:rPr>
          <w:rFonts w:ascii="Century Gothic" w:hAnsi="Century Gothic"/>
          <w:sz w:val="20"/>
          <w:szCs w:val="20"/>
          <w:lang w:eastAsia="pl-PL"/>
        </w:rPr>
        <w:t>legitymujących się statusem studenta.</w:t>
      </w:r>
      <w:r w:rsidR="002E70DC">
        <w:rPr>
          <w:rFonts w:ascii="Century Gothic" w:hAnsi="Century Gothic"/>
          <w:sz w:val="20"/>
          <w:szCs w:val="20"/>
          <w:lang w:eastAsia="pl-PL"/>
        </w:rPr>
        <w:t xml:space="preserve"> Informacje dot. motywacji do pracy pochodzą z raportu Tikrow „</w:t>
      </w:r>
      <w:r w:rsidR="0015413E">
        <w:rPr>
          <w:rFonts w:ascii="Century Gothic" w:hAnsi="Century Gothic"/>
          <w:sz w:val="20"/>
          <w:szCs w:val="20"/>
          <w:lang w:eastAsia="pl-PL"/>
        </w:rPr>
        <w:t>Trendy rynku pracy dorywczej 2023. #PracaNatychmiastowa</w:t>
      </w:r>
      <w:r w:rsidR="002E70DC">
        <w:rPr>
          <w:rFonts w:ascii="Century Gothic" w:hAnsi="Century Gothic"/>
          <w:sz w:val="20"/>
          <w:szCs w:val="20"/>
          <w:lang w:eastAsia="pl-PL"/>
        </w:rPr>
        <w:t>”</w:t>
      </w:r>
      <w:r w:rsidR="00D4201E">
        <w:rPr>
          <w:rFonts w:ascii="Century Gothic" w:hAnsi="Century Gothic"/>
          <w:sz w:val="20"/>
          <w:szCs w:val="20"/>
          <w:lang w:eastAsia="pl-PL"/>
        </w:rPr>
        <w:t xml:space="preserve">, </w:t>
      </w:r>
      <w:r w:rsidR="009117F2">
        <w:rPr>
          <w:rFonts w:ascii="Century Gothic" w:hAnsi="Century Gothic"/>
          <w:sz w:val="20"/>
          <w:szCs w:val="20"/>
          <w:lang w:eastAsia="pl-PL"/>
        </w:rPr>
        <w:t xml:space="preserve">z marca </w:t>
      </w:r>
      <w:r w:rsidR="00D4201E">
        <w:rPr>
          <w:rFonts w:ascii="Century Gothic" w:hAnsi="Century Gothic"/>
          <w:sz w:val="20"/>
          <w:szCs w:val="20"/>
          <w:lang w:eastAsia="pl-PL"/>
        </w:rPr>
        <w:t>2023</w:t>
      </w:r>
      <w:r w:rsidR="009117F2">
        <w:rPr>
          <w:rFonts w:ascii="Century Gothic" w:hAnsi="Century Gothic"/>
          <w:sz w:val="20"/>
          <w:szCs w:val="20"/>
          <w:lang w:eastAsia="pl-PL"/>
        </w:rPr>
        <w:t xml:space="preserve"> roku.</w:t>
      </w:r>
    </w:p>
    <w:p w14:paraId="2737DCF5" w14:textId="77682386" w:rsidR="000663D6" w:rsidRPr="00BE29A8" w:rsidRDefault="000663D6" w:rsidP="00BE29A8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BE29A8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***</w:t>
      </w:r>
    </w:p>
    <w:p w14:paraId="21ABF8B8" w14:textId="14A63E05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Tikrow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to agencja pracy natychmiastowej, dzięki której pracę i pracownika można znaleźć już 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48 godzin.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 prostej i intuicyjnej aplikacji, firmy mierzące się z problemem braku kadry, zyskują dostęp do bazy ponad</w:t>
      </w:r>
      <w:r w:rsidRPr="004E0693">
        <w:rPr>
          <w:lang w:eastAsia="pl-PL"/>
        </w:rPr>
        <w:t> </w:t>
      </w:r>
      <w:r w:rsidR="007B5549">
        <w:rPr>
          <w:rFonts w:ascii="Century Gothic" w:hAnsi="Century Gothic"/>
          <w:sz w:val="20"/>
          <w:szCs w:val="20"/>
          <w:lang w:eastAsia="pl-PL"/>
        </w:rPr>
        <w:t>120</w:t>
      </w:r>
      <w:r w:rsidR="007B5549"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tys. potencjalnych pracowników. Z kolei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osoby poszukujące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pracy dorywczej, mogą szybko znaleźć zlecenie na konkretny dzień, tzw. dniówkę, w dogodnym miejscu i z określonym wynagrodzeniem, bez długoterminowych zobowiązań. Sukces konceptu potwierdza fakt, że </w:t>
      </w:r>
      <w:r>
        <w:rPr>
          <w:rFonts w:ascii="Century Gothic" w:hAnsi="Century Gothic"/>
          <w:sz w:val="20"/>
          <w:szCs w:val="20"/>
          <w:lang w:eastAsia="pl-PL"/>
        </w:rPr>
        <w:t>w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przypadku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ponad 80%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zadań zleconych na platformie Tikrow, firmy znalazły pracowników w ciągu 24 godzin.</w:t>
      </w:r>
      <w:r w:rsidRPr="004E0693">
        <w:rPr>
          <w:lang w:eastAsia="pl-PL"/>
        </w:rPr>
        <w:t> </w:t>
      </w:r>
    </w:p>
    <w:p w14:paraId="5D715F98" w14:textId="5855E863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 xml:space="preserve">W aplikacji Tikrow dniówki </w:t>
      </w:r>
      <w:r w:rsidR="007B5549">
        <w:rPr>
          <w:rFonts w:ascii="Century Gothic" w:hAnsi="Century Gothic"/>
          <w:sz w:val="20"/>
          <w:szCs w:val="20"/>
          <w:lang w:eastAsia="pl-PL"/>
        </w:rPr>
        <w:t>zleciło ponad 250</w:t>
      </w:r>
      <w:r w:rsidR="007B5549" w:rsidRPr="004E0693" w:rsidDel="007B5549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7B5549">
        <w:rPr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firm reprezentujących różne branże, m.in.</w:t>
      </w:r>
      <w:r w:rsidRPr="004E0693">
        <w:rPr>
          <w:lang w:eastAsia="pl-PL"/>
        </w:rPr>
        <w:t> 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retail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>, produkcj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logistyk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, 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HoReCa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 xml:space="preserve"> czy</w:t>
      </w:r>
      <w:r w:rsidR="00850660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administracj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Wśród nich są m.in. Maxi Zoo, Biedronka, ACTION, Decathlon, Pandora, Media 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Markt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 xml:space="preserve">, Homla, Komfort czy 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Logicas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>.</w:t>
      </w:r>
    </w:p>
    <w:p w14:paraId="616D1F43" w14:textId="50B69955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 xml:space="preserve">Z Tikrow </w:t>
      </w:r>
      <w:r w:rsidR="007B5549">
        <w:rPr>
          <w:rFonts w:ascii="Century Gothic" w:hAnsi="Century Gothic"/>
          <w:sz w:val="20"/>
          <w:szCs w:val="20"/>
          <w:lang w:eastAsia="pl-PL"/>
        </w:rPr>
        <w:t>zlecanie</w:t>
      </w:r>
      <w:r w:rsidR="007B5549" w:rsidRPr="004E0693">
        <w:rPr>
          <w:rFonts w:ascii="Century Gothic" w:hAnsi="Century Gothic"/>
          <w:sz w:val="20"/>
          <w:szCs w:val="20"/>
          <w:lang w:eastAsia="pl-PL"/>
        </w:rPr>
        <w:t xml:space="preserve"> dodatkowy</w:t>
      </w:r>
      <w:r w:rsidR="007B5549">
        <w:rPr>
          <w:rFonts w:ascii="Century Gothic" w:hAnsi="Century Gothic"/>
          <w:sz w:val="20"/>
          <w:szCs w:val="20"/>
          <w:lang w:eastAsia="pl-PL"/>
        </w:rPr>
        <w:t>ch prac i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znalezienie dorywczej pracy jest </w:t>
      </w:r>
      <w:r w:rsidR="007B5549">
        <w:rPr>
          <w:rFonts w:ascii="Century Gothic" w:hAnsi="Century Gothic"/>
          <w:sz w:val="20"/>
          <w:szCs w:val="20"/>
          <w:lang w:eastAsia="pl-PL"/>
        </w:rPr>
        <w:t>szybkie i proste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. </w:t>
      </w:r>
      <w:r w:rsidR="007B5549">
        <w:rPr>
          <w:rFonts w:ascii="Century Gothic" w:hAnsi="Century Gothic"/>
          <w:sz w:val="20"/>
          <w:szCs w:val="20"/>
          <w:lang w:eastAsia="pl-PL"/>
        </w:rPr>
        <w:t>W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ykonujemy trzy kliknięcia </w:t>
      </w:r>
      <w:r w:rsidR="007B5549">
        <w:rPr>
          <w:rFonts w:ascii="Century Gothic" w:hAnsi="Century Gothic"/>
          <w:sz w:val="20"/>
          <w:szCs w:val="20"/>
          <w:lang w:eastAsia="pl-PL"/>
        </w:rPr>
        <w:t xml:space="preserve">w aplikacji 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i mamy zarezerwowanego pracownika lub dniówkę. </w:t>
      </w:r>
      <w:r w:rsidR="007B5549">
        <w:rPr>
          <w:rFonts w:ascii="Century Gothic" w:hAnsi="Century Gothic"/>
          <w:sz w:val="20"/>
          <w:szCs w:val="20"/>
          <w:lang w:eastAsia="pl-PL"/>
        </w:rPr>
        <w:t>B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ez </w:t>
      </w:r>
      <w:r w:rsidR="007B5549">
        <w:rPr>
          <w:rFonts w:ascii="Century Gothic" w:hAnsi="Century Gothic"/>
          <w:sz w:val="20"/>
          <w:szCs w:val="20"/>
          <w:lang w:eastAsia="pl-PL"/>
        </w:rPr>
        <w:t xml:space="preserve">czasochłonnej </w:t>
      </w:r>
      <w:r w:rsidRPr="004E0693">
        <w:rPr>
          <w:rFonts w:ascii="Century Gothic" w:hAnsi="Century Gothic"/>
          <w:sz w:val="20"/>
          <w:szCs w:val="20"/>
          <w:lang w:eastAsia="pl-PL"/>
        </w:rPr>
        <w:t>rekrutacji i ukrytych kosztów.</w:t>
      </w:r>
    </w:p>
    <w:p w14:paraId="32552D66" w14:textId="774DD798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Więcej informacji o Tikrow: </w:t>
      </w:r>
      <w:hyperlink r:id="rId8" w:history="1">
        <w:r>
          <w:rPr>
            <w:rFonts w:ascii="Century Gothic" w:hAnsi="Century Gothic"/>
            <w:sz w:val="20"/>
            <w:szCs w:val="20"/>
            <w:lang w:eastAsia="pl-PL"/>
          </w:rPr>
          <w:t>www.tikrow.com.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1EF3D4B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Kontakt dla mediów:</w:t>
      </w:r>
    </w:p>
    <w:p w14:paraId="0643FDE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Sylwia Maj</w:t>
      </w:r>
    </w:p>
    <w:p w14:paraId="7970C934" w14:textId="4790FBC6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76E3CFDD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+48503701452</w:t>
      </w:r>
    </w:p>
    <w:p w14:paraId="1CAA5AC8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9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sylwia.maj@zoom-bsc.pl</w:t>
        </w:r>
      </w:hyperlink>
    </w:p>
    <w:p w14:paraId="4E696A1F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</w:p>
    <w:p w14:paraId="3D18FB55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Piotr Jasiński</w:t>
      </w:r>
    </w:p>
    <w:p w14:paraId="026EBE14" w14:textId="6AEF6703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6D7EC2B4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+48533327182</w:t>
      </w:r>
    </w:p>
    <w:p w14:paraId="294DB2BD" w14:textId="625F8944" w:rsidR="005A2D8A" w:rsidRPr="004D5A70" w:rsidRDefault="00D430A5" w:rsidP="00D17EE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10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piotr.jasinski@zoom-bsc.pl</w:t>
        </w:r>
      </w:hyperlink>
    </w:p>
    <w:sectPr w:rsidR="005A2D8A" w:rsidRPr="004D5A70" w:rsidSect="00BE29A8">
      <w:footerReference w:type="default" r:id="rId11"/>
      <w:headerReference w:type="first" r:id="rId12"/>
      <w:footerReference w:type="first" r:id="rId13"/>
      <w:pgSz w:w="11906" w:h="16838"/>
      <w:pgMar w:top="680" w:right="851" w:bottom="851" w:left="851" w:header="59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E938" w14:textId="77777777" w:rsidR="001A7D27" w:rsidRDefault="001A7D27" w:rsidP="00C9676A">
      <w:r>
        <w:separator/>
      </w:r>
    </w:p>
  </w:endnote>
  <w:endnote w:type="continuationSeparator" w:id="0">
    <w:p w14:paraId="7EC91EC0" w14:textId="77777777" w:rsidR="001A7D27" w:rsidRDefault="001A7D27" w:rsidP="00C9676A">
      <w:r>
        <w:continuationSeparator/>
      </w:r>
    </w:p>
  </w:endnote>
  <w:endnote w:type="continuationNotice" w:id="1">
    <w:p w14:paraId="175F6DBC" w14:textId="77777777" w:rsidR="001A7D27" w:rsidRDefault="001A7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Circular B">
    <w:panose1 w:val="020B0504000000000000"/>
    <w:charset w:val="EE"/>
    <w:family w:val="swiss"/>
    <w:pitch w:val="variable"/>
    <w:sig w:usb0="A000027F" w:usb1="5000003B" w:usb2="00000020" w:usb3="00000000" w:csb0="000000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clid Circular B Semibold">
    <w:panose1 w:val="020B0704000000000000"/>
    <w:charset w:val="EE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715A5A" w14:textId="77777777" w:rsidR="00F6532A" w:rsidRPr="00C9676A" w:rsidRDefault="00F6532A" w:rsidP="00C9676A">
        <w:pPr>
          <w:pStyle w:val="Stopka"/>
          <w:framePr w:w="567" w:h="477" w:hRule="exact" w:wrap="none" w:vAnchor="text" w:hAnchor="page" w:x="10492" w:y="82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342ED8E2" w14:textId="01B963E0" w:rsidR="00F6532A" w:rsidRDefault="00F6532A" w:rsidP="00C9676A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63DA9C87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45600" cy="35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1200ACFD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340800" cy="35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6A8" w14:textId="364ADB6C" w:rsidR="00F6532A" w:rsidRPr="00C9676A" w:rsidRDefault="00F6532A" w:rsidP="00C9676A">
    <w:pPr>
      <w:pStyle w:val="Stopka"/>
      <w:framePr w:w="567" w:h="477" w:hRule="exact" w:wrap="none" w:vAnchor="text" w:hAnchor="page" w:x="10488" w:y="73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begin"/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nstrText xml:space="preserve"> PAGE </w:instrTex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separate"/>
    </w:r>
    <w:r w:rsidRPr="00C9676A">
      <w:rPr>
        <w:rStyle w:val="Numerstrony"/>
        <w:rFonts w:ascii="Euclid Circular B Semibold" w:hAnsi="Euclid Circular B Semibold"/>
        <w:b/>
        <w:bCs/>
        <w:noProof/>
        <w:color w:val="FFFFFF" w:themeColor="background1"/>
        <w:sz w:val="18"/>
        <w:szCs w:val="18"/>
      </w:rPr>
      <w:t>1</w: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end"/>
    </w:r>
  </w:p>
  <w:p w14:paraId="470A88D9" w14:textId="77777777" w:rsidR="00F6532A" w:rsidRDefault="00F6532A" w:rsidP="00C9676A">
    <w:pPr>
      <w:pStyle w:val="Stopka"/>
      <w:ind w:right="360"/>
    </w:pPr>
  </w:p>
  <w:p w14:paraId="2C668C47" w14:textId="21F4C54C" w:rsidR="00F6532A" w:rsidRDefault="00F6532A" w:rsidP="00C9676A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8243" behindDoc="1" locked="0" layoutInCell="1" allowOverlap="1" wp14:anchorId="2E1D04CF" wp14:editId="77BC075E">
          <wp:simplePos x="0" y="0"/>
          <wp:positionH relativeFrom="margin">
            <wp:posOffset>0</wp:posOffset>
          </wp:positionH>
          <wp:positionV relativeFrom="bottomMargin">
            <wp:posOffset>316865</wp:posOffset>
          </wp:positionV>
          <wp:extent cx="3340735" cy="35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2" behindDoc="1" locked="0" layoutInCell="1" allowOverlap="1" wp14:anchorId="7F98742E" wp14:editId="5EBC4550">
          <wp:simplePos x="0" y="0"/>
          <wp:positionH relativeFrom="margin">
            <wp:posOffset>5126990</wp:posOffset>
          </wp:positionH>
          <wp:positionV relativeFrom="bottomMargin">
            <wp:posOffset>317297</wp:posOffset>
          </wp:positionV>
          <wp:extent cx="1245235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BE8B" w14:textId="77777777" w:rsidR="001A7D27" w:rsidRDefault="001A7D27" w:rsidP="00C9676A">
      <w:r>
        <w:separator/>
      </w:r>
    </w:p>
  </w:footnote>
  <w:footnote w:type="continuationSeparator" w:id="0">
    <w:p w14:paraId="626D9951" w14:textId="77777777" w:rsidR="001A7D27" w:rsidRDefault="001A7D27" w:rsidP="00C9676A">
      <w:r>
        <w:continuationSeparator/>
      </w:r>
    </w:p>
  </w:footnote>
  <w:footnote w:type="continuationNotice" w:id="1">
    <w:p w14:paraId="0483EC4E" w14:textId="77777777" w:rsidR="001A7D27" w:rsidRDefault="001A7D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7A2" w14:textId="77777777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3"/>
      </w:rPr>
    </w:pPr>
  </w:p>
  <w:p w14:paraId="05BD1CC2" w14:textId="3EF3FB12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14:paraId="474CA908" w14:textId="5827FDA9" w:rsidR="00F6532A" w:rsidRPr="004D5A70" w:rsidRDefault="00E04603" w:rsidP="00F64C59">
    <w:pPr>
      <w:pStyle w:val="Nagwek"/>
      <w:spacing w:line="276" w:lineRule="auto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11</w:t>
    </w:r>
    <w:r w:rsidR="00490C04">
      <w:rPr>
        <w:rFonts w:ascii="Century Gothic" w:hAnsi="Century Gothic"/>
        <w:sz w:val="18"/>
      </w:rPr>
      <w:t xml:space="preserve"> </w:t>
    </w:r>
    <w:r w:rsidR="00F64C59">
      <w:rPr>
        <w:rFonts w:ascii="Century Gothic" w:hAnsi="Century Gothic"/>
        <w:sz w:val="18"/>
      </w:rPr>
      <w:t>września</w:t>
    </w:r>
    <w:r w:rsidR="00AE604F">
      <w:rPr>
        <w:rFonts w:ascii="Century Gothic" w:hAnsi="Century Gothic"/>
        <w:sz w:val="18"/>
      </w:rPr>
      <w:t xml:space="preserve"> </w:t>
    </w:r>
    <w:r w:rsidR="00F6532A" w:rsidRPr="004D5A70">
      <w:rPr>
        <w:rFonts w:ascii="Century Gothic" w:hAnsi="Century Gothic"/>
        <w:sz w:val="18"/>
      </w:rPr>
      <w:t>202</w:t>
    </w:r>
    <w:r w:rsidR="00AE604F">
      <w:rPr>
        <w:rFonts w:ascii="Century Gothic" w:hAnsi="Century Gothic"/>
        <w:sz w:val="18"/>
      </w:rPr>
      <w:t>3</w:t>
    </w:r>
    <w:r w:rsidR="00F6532A" w:rsidRPr="004D5A70">
      <w:rPr>
        <w:rFonts w:ascii="Century Gothic" w:hAnsi="Century Gothic"/>
        <w:sz w:val="18"/>
      </w:rPr>
      <w:t xml:space="preserve"> roku</w:t>
    </w:r>
  </w:p>
  <w:p w14:paraId="3FF93A7E" w14:textId="3F2190CF" w:rsidR="00F6532A" w:rsidRDefault="00F6532A" w:rsidP="00C9676A">
    <w:pPr>
      <w:pStyle w:val="Nagwek"/>
    </w:pPr>
    <w:r w:rsidRPr="00704727">
      <w:rPr>
        <w:noProof/>
      </w:rPr>
      <w:drawing>
        <wp:anchor distT="0" distB="0" distL="114300" distR="114300" simplePos="0" relativeHeight="25166182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832"/>
    <w:multiLevelType w:val="multilevel"/>
    <w:tmpl w:val="409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26492"/>
    <w:multiLevelType w:val="hybridMultilevel"/>
    <w:tmpl w:val="06E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7BE3"/>
    <w:multiLevelType w:val="multilevel"/>
    <w:tmpl w:val="E97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8756715">
    <w:abstractNumId w:val="0"/>
  </w:num>
  <w:num w:numId="2" w16cid:durableId="1128627435">
    <w:abstractNumId w:val="2"/>
  </w:num>
  <w:num w:numId="3" w16cid:durableId="191485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148C4"/>
    <w:rsid w:val="00030F39"/>
    <w:rsid w:val="00033345"/>
    <w:rsid w:val="00054795"/>
    <w:rsid w:val="000553CA"/>
    <w:rsid w:val="00062951"/>
    <w:rsid w:val="000663D6"/>
    <w:rsid w:val="0006692E"/>
    <w:rsid w:val="000A4942"/>
    <w:rsid w:val="000B3BE0"/>
    <w:rsid w:val="000B4DEA"/>
    <w:rsid w:val="000B56E6"/>
    <w:rsid w:val="000C1CEC"/>
    <w:rsid w:val="000C6975"/>
    <w:rsid w:val="000C7669"/>
    <w:rsid w:val="000E300A"/>
    <w:rsid w:val="000E5589"/>
    <w:rsid w:val="000E787E"/>
    <w:rsid w:val="000F0DA7"/>
    <w:rsid w:val="000F26A1"/>
    <w:rsid w:val="000F7F22"/>
    <w:rsid w:val="001028E4"/>
    <w:rsid w:val="001071F0"/>
    <w:rsid w:val="0010733C"/>
    <w:rsid w:val="00112E5F"/>
    <w:rsid w:val="00113AB1"/>
    <w:rsid w:val="00116CD3"/>
    <w:rsid w:val="00117740"/>
    <w:rsid w:val="001206AF"/>
    <w:rsid w:val="001226D3"/>
    <w:rsid w:val="00122EBC"/>
    <w:rsid w:val="0012567A"/>
    <w:rsid w:val="00127D62"/>
    <w:rsid w:val="00133A60"/>
    <w:rsid w:val="00136990"/>
    <w:rsid w:val="001435CE"/>
    <w:rsid w:val="0015368A"/>
    <w:rsid w:val="00153DE4"/>
    <w:rsid w:val="0015413E"/>
    <w:rsid w:val="00154860"/>
    <w:rsid w:val="00160AE3"/>
    <w:rsid w:val="00166115"/>
    <w:rsid w:val="0018075C"/>
    <w:rsid w:val="00182EB5"/>
    <w:rsid w:val="00184702"/>
    <w:rsid w:val="00184EC7"/>
    <w:rsid w:val="00186DCF"/>
    <w:rsid w:val="00187CAD"/>
    <w:rsid w:val="00191361"/>
    <w:rsid w:val="0019248E"/>
    <w:rsid w:val="001A39C0"/>
    <w:rsid w:val="001A3D57"/>
    <w:rsid w:val="001A6575"/>
    <w:rsid w:val="001A7D27"/>
    <w:rsid w:val="001B1195"/>
    <w:rsid w:val="001C00BB"/>
    <w:rsid w:val="001C2BE1"/>
    <w:rsid w:val="001E5924"/>
    <w:rsid w:val="001E7A0C"/>
    <w:rsid w:val="001F0657"/>
    <w:rsid w:val="001F1295"/>
    <w:rsid w:val="001F51E6"/>
    <w:rsid w:val="001F744F"/>
    <w:rsid w:val="0020189E"/>
    <w:rsid w:val="00215525"/>
    <w:rsid w:val="00222A97"/>
    <w:rsid w:val="0023105F"/>
    <w:rsid w:val="002314F7"/>
    <w:rsid w:val="00236211"/>
    <w:rsid w:val="0023698F"/>
    <w:rsid w:val="00240D96"/>
    <w:rsid w:val="00242842"/>
    <w:rsid w:val="002471D5"/>
    <w:rsid w:val="00250800"/>
    <w:rsid w:val="0025177A"/>
    <w:rsid w:val="00252072"/>
    <w:rsid w:val="002608D6"/>
    <w:rsid w:val="0026470A"/>
    <w:rsid w:val="002703BA"/>
    <w:rsid w:val="0027434F"/>
    <w:rsid w:val="00280EA9"/>
    <w:rsid w:val="0028172C"/>
    <w:rsid w:val="00287B73"/>
    <w:rsid w:val="0029230F"/>
    <w:rsid w:val="0029393D"/>
    <w:rsid w:val="002A3EFB"/>
    <w:rsid w:val="002B373A"/>
    <w:rsid w:val="002B40DF"/>
    <w:rsid w:val="002B7BBF"/>
    <w:rsid w:val="002C0828"/>
    <w:rsid w:val="002C087A"/>
    <w:rsid w:val="002C58A8"/>
    <w:rsid w:val="002D1FE2"/>
    <w:rsid w:val="002D6D27"/>
    <w:rsid w:val="002E3262"/>
    <w:rsid w:val="002E64CA"/>
    <w:rsid w:val="002E70DC"/>
    <w:rsid w:val="002F3B9F"/>
    <w:rsid w:val="002F3E40"/>
    <w:rsid w:val="002F41E7"/>
    <w:rsid w:val="002F7BFE"/>
    <w:rsid w:val="0030006B"/>
    <w:rsid w:val="00304342"/>
    <w:rsid w:val="003056A3"/>
    <w:rsid w:val="00305FEB"/>
    <w:rsid w:val="00306035"/>
    <w:rsid w:val="00307787"/>
    <w:rsid w:val="00320377"/>
    <w:rsid w:val="00343F57"/>
    <w:rsid w:val="003456EC"/>
    <w:rsid w:val="00347631"/>
    <w:rsid w:val="00352B76"/>
    <w:rsid w:val="003557DA"/>
    <w:rsid w:val="003664C2"/>
    <w:rsid w:val="00366635"/>
    <w:rsid w:val="003669A4"/>
    <w:rsid w:val="00370650"/>
    <w:rsid w:val="0037691C"/>
    <w:rsid w:val="00381426"/>
    <w:rsid w:val="003902BD"/>
    <w:rsid w:val="003951EE"/>
    <w:rsid w:val="00397903"/>
    <w:rsid w:val="003A71FB"/>
    <w:rsid w:val="003B219A"/>
    <w:rsid w:val="003B2FC9"/>
    <w:rsid w:val="003B4BE1"/>
    <w:rsid w:val="003B5BC6"/>
    <w:rsid w:val="003B71E2"/>
    <w:rsid w:val="003C7D3E"/>
    <w:rsid w:val="003D151F"/>
    <w:rsid w:val="003D6A6D"/>
    <w:rsid w:val="003E1769"/>
    <w:rsid w:val="003E7AF7"/>
    <w:rsid w:val="003F26DC"/>
    <w:rsid w:val="00400DAD"/>
    <w:rsid w:val="00411031"/>
    <w:rsid w:val="00415AB9"/>
    <w:rsid w:val="00416BD9"/>
    <w:rsid w:val="004218C4"/>
    <w:rsid w:val="00422510"/>
    <w:rsid w:val="00425160"/>
    <w:rsid w:val="004253F9"/>
    <w:rsid w:val="0043004F"/>
    <w:rsid w:val="0043451D"/>
    <w:rsid w:val="0044402F"/>
    <w:rsid w:val="00445FC3"/>
    <w:rsid w:val="00450DB1"/>
    <w:rsid w:val="00453584"/>
    <w:rsid w:val="00455BD1"/>
    <w:rsid w:val="004616FC"/>
    <w:rsid w:val="00462630"/>
    <w:rsid w:val="00466650"/>
    <w:rsid w:val="004847E7"/>
    <w:rsid w:val="00490903"/>
    <w:rsid w:val="00490C04"/>
    <w:rsid w:val="00491D47"/>
    <w:rsid w:val="004962FE"/>
    <w:rsid w:val="004A3824"/>
    <w:rsid w:val="004A6E24"/>
    <w:rsid w:val="004A75A6"/>
    <w:rsid w:val="004B001B"/>
    <w:rsid w:val="004B3690"/>
    <w:rsid w:val="004B51E4"/>
    <w:rsid w:val="004C0807"/>
    <w:rsid w:val="004C1C06"/>
    <w:rsid w:val="004C2383"/>
    <w:rsid w:val="004C5C48"/>
    <w:rsid w:val="004D03C2"/>
    <w:rsid w:val="004D081F"/>
    <w:rsid w:val="004D21EB"/>
    <w:rsid w:val="004D30EC"/>
    <w:rsid w:val="004D4C02"/>
    <w:rsid w:val="004D5A70"/>
    <w:rsid w:val="004E04B3"/>
    <w:rsid w:val="004E0693"/>
    <w:rsid w:val="004E3883"/>
    <w:rsid w:val="004E4CE4"/>
    <w:rsid w:val="004E53AC"/>
    <w:rsid w:val="004E5E96"/>
    <w:rsid w:val="004E7CB7"/>
    <w:rsid w:val="004F6AEB"/>
    <w:rsid w:val="0050202D"/>
    <w:rsid w:val="0050340B"/>
    <w:rsid w:val="0051074C"/>
    <w:rsid w:val="0051413D"/>
    <w:rsid w:val="00530405"/>
    <w:rsid w:val="00537EAA"/>
    <w:rsid w:val="00545A36"/>
    <w:rsid w:val="005465A4"/>
    <w:rsid w:val="005742DC"/>
    <w:rsid w:val="00574632"/>
    <w:rsid w:val="005800CA"/>
    <w:rsid w:val="00581602"/>
    <w:rsid w:val="005849B6"/>
    <w:rsid w:val="005865A5"/>
    <w:rsid w:val="00586B08"/>
    <w:rsid w:val="00586C80"/>
    <w:rsid w:val="0059603C"/>
    <w:rsid w:val="005A2D8A"/>
    <w:rsid w:val="005C04DC"/>
    <w:rsid w:val="005C26FA"/>
    <w:rsid w:val="005D0697"/>
    <w:rsid w:val="005D79FC"/>
    <w:rsid w:val="005E02B9"/>
    <w:rsid w:val="005E3BC7"/>
    <w:rsid w:val="005E3F69"/>
    <w:rsid w:val="005E4E88"/>
    <w:rsid w:val="005F0A1B"/>
    <w:rsid w:val="005F6684"/>
    <w:rsid w:val="005F7CD4"/>
    <w:rsid w:val="00611ABA"/>
    <w:rsid w:val="0061678D"/>
    <w:rsid w:val="0062005E"/>
    <w:rsid w:val="00620E5F"/>
    <w:rsid w:val="006222AC"/>
    <w:rsid w:val="00625864"/>
    <w:rsid w:val="0063053A"/>
    <w:rsid w:val="00630898"/>
    <w:rsid w:val="00633938"/>
    <w:rsid w:val="00636007"/>
    <w:rsid w:val="00643915"/>
    <w:rsid w:val="006544C7"/>
    <w:rsid w:val="00664DF8"/>
    <w:rsid w:val="006667F8"/>
    <w:rsid w:val="00667359"/>
    <w:rsid w:val="00674221"/>
    <w:rsid w:val="00676AF2"/>
    <w:rsid w:val="00684287"/>
    <w:rsid w:val="00687581"/>
    <w:rsid w:val="00695F05"/>
    <w:rsid w:val="006B5FD3"/>
    <w:rsid w:val="006B62A7"/>
    <w:rsid w:val="006B6687"/>
    <w:rsid w:val="006B7394"/>
    <w:rsid w:val="006D3141"/>
    <w:rsid w:val="006D356F"/>
    <w:rsid w:val="006D4FE0"/>
    <w:rsid w:val="006E1846"/>
    <w:rsid w:val="006E19ED"/>
    <w:rsid w:val="006E3831"/>
    <w:rsid w:val="006E6243"/>
    <w:rsid w:val="006F24CC"/>
    <w:rsid w:val="006F5CF0"/>
    <w:rsid w:val="006F7141"/>
    <w:rsid w:val="006F7258"/>
    <w:rsid w:val="006F7CBA"/>
    <w:rsid w:val="00702A9C"/>
    <w:rsid w:val="007042E0"/>
    <w:rsid w:val="00704727"/>
    <w:rsid w:val="007060B7"/>
    <w:rsid w:val="007156CB"/>
    <w:rsid w:val="00720D70"/>
    <w:rsid w:val="00723C2D"/>
    <w:rsid w:val="00726667"/>
    <w:rsid w:val="0073190D"/>
    <w:rsid w:val="0073361D"/>
    <w:rsid w:val="00737DC3"/>
    <w:rsid w:val="00750AD9"/>
    <w:rsid w:val="00751907"/>
    <w:rsid w:val="00753EDA"/>
    <w:rsid w:val="0075417C"/>
    <w:rsid w:val="007541A9"/>
    <w:rsid w:val="00765894"/>
    <w:rsid w:val="00770866"/>
    <w:rsid w:val="007717E3"/>
    <w:rsid w:val="00774A95"/>
    <w:rsid w:val="007766BF"/>
    <w:rsid w:val="007775CD"/>
    <w:rsid w:val="00784A70"/>
    <w:rsid w:val="00787CF7"/>
    <w:rsid w:val="00793B9B"/>
    <w:rsid w:val="007943D3"/>
    <w:rsid w:val="007A0512"/>
    <w:rsid w:val="007A379C"/>
    <w:rsid w:val="007A53F1"/>
    <w:rsid w:val="007A6297"/>
    <w:rsid w:val="007B4A22"/>
    <w:rsid w:val="007B5549"/>
    <w:rsid w:val="007C0BF0"/>
    <w:rsid w:val="007C23D2"/>
    <w:rsid w:val="007C397C"/>
    <w:rsid w:val="007C6DBE"/>
    <w:rsid w:val="007F026B"/>
    <w:rsid w:val="007F1C09"/>
    <w:rsid w:val="00800207"/>
    <w:rsid w:val="008065DB"/>
    <w:rsid w:val="008217FA"/>
    <w:rsid w:val="00841B32"/>
    <w:rsid w:val="00850660"/>
    <w:rsid w:val="00857220"/>
    <w:rsid w:val="00857E34"/>
    <w:rsid w:val="00861E08"/>
    <w:rsid w:val="00864B17"/>
    <w:rsid w:val="008711D4"/>
    <w:rsid w:val="00872AB0"/>
    <w:rsid w:val="0087520E"/>
    <w:rsid w:val="00875FE5"/>
    <w:rsid w:val="00884734"/>
    <w:rsid w:val="00892EB9"/>
    <w:rsid w:val="00896726"/>
    <w:rsid w:val="008A11EE"/>
    <w:rsid w:val="008A20C8"/>
    <w:rsid w:val="008A71E0"/>
    <w:rsid w:val="008B2E45"/>
    <w:rsid w:val="008C0E50"/>
    <w:rsid w:val="008C6535"/>
    <w:rsid w:val="008D2391"/>
    <w:rsid w:val="008D4219"/>
    <w:rsid w:val="008E42A3"/>
    <w:rsid w:val="008F10DA"/>
    <w:rsid w:val="008F20DE"/>
    <w:rsid w:val="008F313D"/>
    <w:rsid w:val="008F3AA4"/>
    <w:rsid w:val="008F53DD"/>
    <w:rsid w:val="0090044D"/>
    <w:rsid w:val="00905165"/>
    <w:rsid w:val="009117F2"/>
    <w:rsid w:val="0092060C"/>
    <w:rsid w:val="0092165E"/>
    <w:rsid w:val="00921934"/>
    <w:rsid w:val="00926A28"/>
    <w:rsid w:val="0093026D"/>
    <w:rsid w:val="00963024"/>
    <w:rsid w:val="00963D5F"/>
    <w:rsid w:val="00975A7B"/>
    <w:rsid w:val="0097669E"/>
    <w:rsid w:val="00987FE4"/>
    <w:rsid w:val="009932A7"/>
    <w:rsid w:val="009A0CBE"/>
    <w:rsid w:val="009A5760"/>
    <w:rsid w:val="009A6F9B"/>
    <w:rsid w:val="009B075C"/>
    <w:rsid w:val="009B2B02"/>
    <w:rsid w:val="009B4FA4"/>
    <w:rsid w:val="009C2C23"/>
    <w:rsid w:val="009C2F0A"/>
    <w:rsid w:val="009C49EA"/>
    <w:rsid w:val="009C5CE4"/>
    <w:rsid w:val="009C6A1C"/>
    <w:rsid w:val="009C747E"/>
    <w:rsid w:val="009D1156"/>
    <w:rsid w:val="009E181A"/>
    <w:rsid w:val="009E1ED3"/>
    <w:rsid w:val="009E6B42"/>
    <w:rsid w:val="009F5C87"/>
    <w:rsid w:val="00A04B7F"/>
    <w:rsid w:val="00A0522E"/>
    <w:rsid w:val="00A0775E"/>
    <w:rsid w:val="00A11C5C"/>
    <w:rsid w:val="00A135B3"/>
    <w:rsid w:val="00A15252"/>
    <w:rsid w:val="00A16C02"/>
    <w:rsid w:val="00A26770"/>
    <w:rsid w:val="00A34122"/>
    <w:rsid w:val="00A35EE8"/>
    <w:rsid w:val="00A37218"/>
    <w:rsid w:val="00A41218"/>
    <w:rsid w:val="00A427E7"/>
    <w:rsid w:val="00A44371"/>
    <w:rsid w:val="00A44629"/>
    <w:rsid w:val="00A461A6"/>
    <w:rsid w:val="00A505F8"/>
    <w:rsid w:val="00A56187"/>
    <w:rsid w:val="00A650AE"/>
    <w:rsid w:val="00A72486"/>
    <w:rsid w:val="00A755A5"/>
    <w:rsid w:val="00A762B6"/>
    <w:rsid w:val="00A862D3"/>
    <w:rsid w:val="00A863CD"/>
    <w:rsid w:val="00A87DC8"/>
    <w:rsid w:val="00AA0D87"/>
    <w:rsid w:val="00AA21B1"/>
    <w:rsid w:val="00AA3729"/>
    <w:rsid w:val="00AB3B10"/>
    <w:rsid w:val="00AC571F"/>
    <w:rsid w:val="00AD1C9D"/>
    <w:rsid w:val="00AD1D57"/>
    <w:rsid w:val="00AD3AED"/>
    <w:rsid w:val="00AD7D5D"/>
    <w:rsid w:val="00AE2E00"/>
    <w:rsid w:val="00AE4226"/>
    <w:rsid w:val="00AE604F"/>
    <w:rsid w:val="00B011BE"/>
    <w:rsid w:val="00B02979"/>
    <w:rsid w:val="00B034C4"/>
    <w:rsid w:val="00B05996"/>
    <w:rsid w:val="00B062A7"/>
    <w:rsid w:val="00B07FFD"/>
    <w:rsid w:val="00B12EB6"/>
    <w:rsid w:val="00B14F01"/>
    <w:rsid w:val="00B15722"/>
    <w:rsid w:val="00B23FCB"/>
    <w:rsid w:val="00B26698"/>
    <w:rsid w:val="00B34E57"/>
    <w:rsid w:val="00B35603"/>
    <w:rsid w:val="00B360F0"/>
    <w:rsid w:val="00B36645"/>
    <w:rsid w:val="00B40C53"/>
    <w:rsid w:val="00B42B3A"/>
    <w:rsid w:val="00B5168D"/>
    <w:rsid w:val="00B558AE"/>
    <w:rsid w:val="00B55B08"/>
    <w:rsid w:val="00B6298B"/>
    <w:rsid w:val="00B64C55"/>
    <w:rsid w:val="00B657A8"/>
    <w:rsid w:val="00B664CA"/>
    <w:rsid w:val="00B711DB"/>
    <w:rsid w:val="00B74AE2"/>
    <w:rsid w:val="00B762D7"/>
    <w:rsid w:val="00B86F28"/>
    <w:rsid w:val="00B907E6"/>
    <w:rsid w:val="00B93405"/>
    <w:rsid w:val="00B95D39"/>
    <w:rsid w:val="00BA5644"/>
    <w:rsid w:val="00BB778F"/>
    <w:rsid w:val="00BD0323"/>
    <w:rsid w:val="00BD7046"/>
    <w:rsid w:val="00BE133D"/>
    <w:rsid w:val="00BE2354"/>
    <w:rsid w:val="00BE29A8"/>
    <w:rsid w:val="00BE6C4F"/>
    <w:rsid w:val="00BF60A3"/>
    <w:rsid w:val="00BF652D"/>
    <w:rsid w:val="00C02A89"/>
    <w:rsid w:val="00C032C4"/>
    <w:rsid w:val="00C10FE3"/>
    <w:rsid w:val="00C1225C"/>
    <w:rsid w:val="00C22563"/>
    <w:rsid w:val="00C23D12"/>
    <w:rsid w:val="00C32221"/>
    <w:rsid w:val="00C35521"/>
    <w:rsid w:val="00C36FCE"/>
    <w:rsid w:val="00C37EF8"/>
    <w:rsid w:val="00C45962"/>
    <w:rsid w:val="00C45C0F"/>
    <w:rsid w:val="00C4777E"/>
    <w:rsid w:val="00C50915"/>
    <w:rsid w:val="00C608C9"/>
    <w:rsid w:val="00C63298"/>
    <w:rsid w:val="00C64654"/>
    <w:rsid w:val="00C65CE5"/>
    <w:rsid w:val="00C7220B"/>
    <w:rsid w:val="00C75A00"/>
    <w:rsid w:val="00C84EBC"/>
    <w:rsid w:val="00C9037C"/>
    <w:rsid w:val="00C95595"/>
    <w:rsid w:val="00C9676A"/>
    <w:rsid w:val="00C97288"/>
    <w:rsid w:val="00CA0D60"/>
    <w:rsid w:val="00CA7709"/>
    <w:rsid w:val="00CA7B5D"/>
    <w:rsid w:val="00CB7A5C"/>
    <w:rsid w:val="00CC0A92"/>
    <w:rsid w:val="00CC4190"/>
    <w:rsid w:val="00CD788A"/>
    <w:rsid w:val="00CD78DC"/>
    <w:rsid w:val="00CE0666"/>
    <w:rsid w:val="00CE0DD6"/>
    <w:rsid w:val="00CE3933"/>
    <w:rsid w:val="00CE6A0D"/>
    <w:rsid w:val="00CE7A4C"/>
    <w:rsid w:val="00CF1AE4"/>
    <w:rsid w:val="00CF458E"/>
    <w:rsid w:val="00CF5CFD"/>
    <w:rsid w:val="00CF69E2"/>
    <w:rsid w:val="00CF7193"/>
    <w:rsid w:val="00D01B3B"/>
    <w:rsid w:val="00D11E6A"/>
    <w:rsid w:val="00D15595"/>
    <w:rsid w:val="00D17EEA"/>
    <w:rsid w:val="00D24292"/>
    <w:rsid w:val="00D346FA"/>
    <w:rsid w:val="00D34ADB"/>
    <w:rsid w:val="00D4201E"/>
    <w:rsid w:val="00D430A5"/>
    <w:rsid w:val="00D43602"/>
    <w:rsid w:val="00D50826"/>
    <w:rsid w:val="00D5117D"/>
    <w:rsid w:val="00D51466"/>
    <w:rsid w:val="00D53B49"/>
    <w:rsid w:val="00D6453D"/>
    <w:rsid w:val="00D820CD"/>
    <w:rsid w:val="00D82A34"/>
    <w:rsid w:val="00D93592"/>
    <w:rsid w:val="00D96E81"/>
    <w:rsid w:val="00DB0DCD"/>
    <w:rsid w:val="00DB151D"/>
    <w:rsid w:val="00DB79E1"/>
    <w:rsid w:val="00DC14F3"/>
    <w:rsid w:val="00DC4232"/>
    <w:rsid w:val="00DC6523"/>
    <w:rsid w:val="00DD0BA1"/>
    <w:rsid w:val="00DD3E1C"/>
    <w:rsid w:val="00DE272B"/>
    <w:rsid w:val="00DE6E15"/>
    <w:rsid w:val="00DE79B9"/>
    <w:rsid w:val="00DF03C3"/>
    <w:rsid w:val="00DF4BEB"/>
    <w:rsid w:val="00DF53A6"/>
    <w:rsid w:val="00DF71C1"/>
    <w:rsid w:val="00E03652"/>
    <w:rsid w:val="00E04603"/>
    <w:rsid w:val="00E12118"/>
    <w:rsid w:val="00E14786"/>
    <w:rsid w:val="00E17646"/>
    <w:rsid w:val="00E2133A"/>
    <w:rsid w:val="00E301E6"/>
    <w:rsid w:val="00E34C49"/>
    <w:rsid w:val="00E36897"/>
    <w:rsid w:val="00E422BF"/>
    <w:rsid w:val="00E42747"/>
    <w:rsid w:val="00E42777"/>
    <w:rsid w:val="00E4328B"/>
    <w:rsid w:val="00E47B9E"/>
    <w:rsid w:val="00E539AA"/>
    <w:rsid w:val="00E57D3C"/>
    <w:rsid w:val="00E71E88"/>
    <w:rsid w:val="00E73794"/>
    <w:rsid w:val="00E742B7"/>
    <w:rsid w:val="00E750FF"/>
    <w:rsid w:val="00E757AD"/>
    <w:rsid w:val="00E8119D"/>
    <w:rsid w:val="00E86285"/>
    <w:rsid w:val="00E907EB"/>
    <w:rsid w:val="00E910ED"/>
    <w:rsid w:val="00E92FFE"/>
    <w:rsid w:val="00E96459"/>
    <w:rsid w:val="00E9717D"/>
    <w:rsid w:val="00EA05BF"/>
    <w:rsid w:val="00EA07E4"/>
    <w:rsid w:val="00EA1382"/>
    <w:rsid w:val="00EA20D3"/>
    <w:rsid w:val="00EA4F86"/>
    <w:rsid w:val="00EB0BD3"/>
    <w:rsid w:val="00EB1A41"/>
    <w:rsid w:val="00EB25C6"/>
    <w:rsid w:val="00EB79A0"/>
    <w:rsid w:val="00EC33A5"/>
    <w:rsid w:val="00ED0374"/>
    <w:rsid w:val="00ED1D6E"/>
    <w:rsid w:val="00ED29FF"/>
    <w:rsid w:val="00ED7D75"/>
    <w:rsid w:val="00EE2830"/>
    <w:rsid w:val="00EE60D2"/>
    <w:rsid w:val="00EE6303"/>
    <w:rsid w:val="00F03C58"/>
    <w:rsid w:val="00F040A2"/>
    <w:rsid w:val="00F10555"/>
    <w:rsid w:val="00F16435"/>
    <w:rsid w:val="00F2159B"/>
    <w:rsid w:val="00F22E19"/>
    <w:rsid w:val="00F316D2"/>
    <w:rsid w:val="00F34760"/>
    <w:rsid w:val="00F36975"/>
    <w:rsid w:val="00F40B5F"/>
    <w:rsid w:val="00F414E5"/>
    <w:rsid w:val="00F53E0C"/>
    <w:rsid w:val="00F54666"/>
    <w:rsid w:val="00F621D3"/>
    <w:rsid w:val="00F64C59"/>
    <w:rsid w:val="00F6532A"/>
    <w:rsid w:val="00F700A9"/>
    <w:rsid w:val="00F73F9F"/>
    <w:rsid w:val="00F75E5A"/>
    <w:rsid w:val="00F76B36"/>
    <w:rsid w:val="00F77B6D"/>
    <w:rsid w:val="00F77BFF"/>
    <w:rsid w:val="00F8570F"/>
    <w:rsid w:val="00F91FB5"/>
    <w:rsid w:val="00F92848"/>
    <w:rsid w:val="00F966A9"/>
    <w:rsid w:val="00F976E3"/>
    <w:rsid w:val="00FA3212"/>
    <w:rsid w:val="00FA43C8"/>
    <w:rsid w:val="00FA7FB2"/>
    <w:rsid w:val="00FB39FD"/>
    <w:rsid w:val="00FB3A4B"/>
    <w:rsid w:val="00FB5CBE"/>
    <w:rsid w:val="00FB61E8"/>
    <w:rsid w:val="00FB63B4"/>
    <w:rsid w:val="00FC6E67"/>
    <w:rsid w:val="00FC7C6E"/>
    <w:rsid w:val="00FE12A8"/>
    <w:rsid w:val="00FE626E"/>
    <w:rsid w:val="00FE76EB"/>
    <w:rsid w:val="00FF3322"/>
    <w:rsid w:val="00FF45D2"/>
    <w:rsid w:val="00FF5693"/>
    <w:rsid w:val="02970A5E"/>
    <w:rsid w:val="03470552"/>
    <w:rsid w:val="042F46EF"/>
    <w:rsid w:val="0432DABF"/>
    <w:rsid w:val="07722AFF"/>
    <w:rsid w:val="0BE9E5ED"/>
    <w:rsid w:val="0C39737E"/>
    <w:rsid w:val="0C45E0A5"/>
    <w:rsid w:val="0D3DD9D6"/>
    <w:rsid w:val="0EB724EC"/>
    <w:rsid w:val="0FE49749"/>
    <w:rsid w:val="1450EC0F"/>
    <w:rsid w:val="17943F36"/>
    <w:rsid w:val="1C5784CE"/>
    <w:rsid w:val="1D200AAD"/>
    <w:rsid w:val="1D2A31DE"/>
    <w:rsid w:val="1DDF401A"/>
    <w:rsid w:val="1DF3552F"/>
    <w:rsid w:val="1F8F2590"/>
    <w:rsid w:val="1FED6AE0"/>
    <w:rsid w:val="2162162C"/>
    <w:rsid w:val="238EE78A"/>
    <w:rsid w:val="23ED69C0"/>
    <w:rsid w:val="28BD19AB"/>
    <w:rsid w:val="2D908ACE"/>
    <w:rsid w:val="2EE4138F"/>
    <w:rsid w:val="307FE3F0"/>
    <w:rsid w:val="3630A3BC"/>
    <w:rsid w:val="36EF17D6"/>
    <w:rsid w:val="409ACC76"/>
    <w:rsid w:val="43555618"/>
    <w:rsid w:val="458DF1F3"/>
    <w:rsid w:val="46E88575"/>
    <w:rsid w:val="473C5607"/>
    <w:rsid w:val="4C7FED45"/>
    <w:rsid w:val="4CB354F7"/>
    <w:rsid w:val="4F4767EC"/>
    <w:rsid w:val="534F2752"/>
    <w:rsid w:val="568F8821"/>
    <w:rsid w:val="5965530C"/>
    <w:rsid w:val="5A6686F2"/>
    <w:rsid w:val="5DC714DF"/>
    <w:rsid w:val="5E925011"/>
    <w:rsid w:val="5F88C71F"/>
    <w:rsid w:val="6154B8DC"/>
    <w:rsid w:val="64C7C8F5"/>
    <w:rsid w:val="6526EE41"/>
    <w:rsid w:val="674069C5"/>
    <w:rsid w:val="6C75AB6D"/>
    <w:rsid w:val="6CC43A83"/>
    <w:rsid w:val="6EE2D00C"/>
    <w:rsid w:val="6F870651"/>
    <w:rsid w:val="7126DCC1"/>
    <w:rsid w:val="73FD1B8B"/>
    <w:rsid w:val="7405C470"/>
    <w:rsid w:val="782A7E16"/>
    <w:rsid w:val="7B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BE29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BE2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0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E0693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Euclid Circular B" w:hAnsi="Euclid Circular B"/>
      <w:color w:val="172C4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168D"/>
    <w:rPr>
      <w:i/>
      <w:iCs/>
    </w:rPr>
  </w:style>
  <w:style w:type="paragraph" w:styleId="Poprawka">
    <w:name w:val="Revision"/>
    <w:hidden/>
    <w:uiPriority w:val="99"/>
    <w:semiHidden/>
    <w:rsid w:val="005742DC"/>
    <w:rPr>
      <w:rFonts w:ascii="Euclid Circular B" w:hAnsi="Euclid Circular B"/>
      <w:color w:val="172C4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47"/>
    <w:rPr>
      <w:rFonts w:ascii="Euclid Circular B" w:hAnsi="Euclid Circular B"/>
      <w:b/>
      <w:bCs/>
      <w:color w:val="172C4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47"/>
    <w:rPr>
      <w:rFonts w:ascii="Times New Roman" w:hAnsi="Times New Roman" w:cs="Times New Roman"/>
      <w:color w:val="172C45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B1"/>
    <w:rPr>
      <w:rFonts w:ascii="Euclid Circular B" w:hAnsi="Euclid Circular B"/>
      <w:color w:val="172C4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FC9"/>
    <w:rPr>
      <w:rFonts w:ascii="Euclid Circular B" w:hAnsi="Euclid Circular B"/>
      <w:color w:val="172C4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ro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jasinski@zoom-bs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maj@zoom-bs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F489-0B6D-654C-B376-CD13C16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</dc:creator>
  <cp:keywords/>
  <dc:description/>
  <cp:lastModifiedBy>Ilona Olejarz</cp:lastModifiedBy>
  <cp:revision>12</cp:revision>
  <dcterms:created xsi:type="dcterms:W3CDTF">2023-09-07T06:30:00Z</dcterms:created>
  <dcterms:modified xsi:type="dcterms:W3CDTF">2023-09-15T06:53:00Z</dcterms:modified>
</cp:coreProperties>
</file>