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EDB8" w14:textId="2DB99867" w:rsidR="00ED0374" w:rsidRDefault="00BF5CA7" w:rsidP="00ED0374">
      <w:pPr>
        <w:spacing w:before="360" w:after="360" w:line="276" w:lineRule="auto"/>
        <w:jc w:val="center"/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>Praca bardziej smart</w:t>
      </w:r>
      <w:r w:rsidR="00503754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 xml:space="preserve">, czyli </w:t>
      </w:r>
      <w:r w:rsidR="00561F07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 xml:space="preserve">3 kluczowe </w:t>
      </w:r>
      <w:r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>trend</w:t>
      </w:r>
      <w:r w:rsidR="00D30803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>y</w:t>
      </w:r>
      <w:r w:rsidR="00DC1D58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>,</w:t>
      </w:r>
      <w:r w:rsidR="00E922E6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br/>
      </w:r>
      <w:r w:rsidR="00503754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 xml:space="preserve">które </w:t>
      </w:r>
      <w:r w:rsidR="00942E8B"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 xml:space="preserve">wpłyną na </w:t>
      </w:r>
      <w:r>
        <w:rPr>
          <w:rFonts w:ascii="Century Gothic" w:eastAsia="Times New Roman" w:hAnsi="Century Gothic" w:cs="Times New Roman"/>
          <w:b/>
          <w:bCs/>
          <w:sz w:val="32"/>
          <w:szCs w:val="32"/>
          <w:shd w:val="clear" w:color="auto" w:fill="FFFFFF"/>
          <w:lang w:eastAsia="pl-PL"/>
        </w:rPr>
        <w:t>HR w 2023 roku</w:t>
      </w:r>
    </w:p>
    <w:p w14:paraId="20478FF3" w14:textId="439E8176" w:rsidR="001434EE" w:rsidRDefault="000B35FD" w:rsidP="00403E06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Pracownicy otworzą się na wielu pracodawców, chętniej </w:t>
      </w:r>
      <w:r w:rsidR="0058093E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dorobią w ramach pracy na godziny, a działy HR </w:t>
      </w:r>
      <w:r w:rsidR="005D0965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>poszukiwać będą rozwiązań, które przyspieszą procesy kadrowe w firmach.</w:t>
      </w:r>
      <w:r w:rsidR="00555099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Do głosu dojdzie pokolenie Z</w:t>
      </w:r>
      <w:r w:rsidR="00911D65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>, a</w:t>
      </w:r>
      <w:r w:rsidR="00DB2881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na popularności zyska…</w:t>
      </w:r>
      <w:r w:rsidR="00911D65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zatrudnianie przez </w:t>
      </w:r>
      <w:r w:rsidR="00DB2881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aplikację </w:t>
      </w:r>
      <w:r w:rsidR="00911D65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>mobilną</w:t>
      </w:r>
      <w:r w:rsidR="00AA1A90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. Eksperci agencji pracy natychmiastowej Tikrow wskazują </w:t>
      </w:r>
      <w:r w:rsidR="00781929">
        <w:rPr>
          <w:rFonts w:ascii="Century Gothic" w:eastAsia="Century Gothic" w:hAnsi="Century Gothic" w:cs="Century Gothic"/>
          <w:b/>
          <w:bCs/>
          <w:sz w:val="21"/>
          <w:szCs w:val="21"/>
        </w:rPr>
        <w:t>trzy</w:t>
      </w:r>
      <w:r w:rsidR="00AA1A90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kluczowe tren</w:t>
      </w:r>
      <w:r w:rsidR="00403E06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>d</w:t>
      </w:r>
      <w:r w:rsidR="00AA1A90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>y, które zdominują 2023 rok</w:t>
      </w:r>
      <w:r w:rsidR="00403E06" w:rsidRPr="00403E0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w działach zasobów ludzkich.</w:t>
      </w:r>
    </w:p>
    <w:p w14:paraId="5624D647" w14:textId="30D5A361" w:rsidR="00AA21B1" w:rsidRDefault="007F2D80" w:rsidP="00D17EEA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D17EEA">
        <w:rPr>
          <w:rFonts w:ascii="Century Gothic" w:hAnsi="Century Gothic"/>
          <w:sz w:val="21"/>
          <w:szCs w:val="21"/>
        </w:rPr>
        <w:t>–</w:t>
      </w:r>
      <w:r w:rsidR="002F70A0">
        <w:rPr>
          <w:rFonts w:ascii="Century Gothic" w:hAnsi="Century Gothic"/>
          <w:i/>
          <w:iCs/>
          <w:sz w:val="21"/>
          <w:szCs w:val="21"/>
        </w:rPr>
        <w:t xml:space="preserve"> Elastyczność to słowo, które </w:t>
      </w:r>
      <w:r w:rsidR="001C06B4">
        <w:rPr>
          <w:rFonts w:ascii="Century Gothic" w:hAnsi="Century Gothic"/>
          <w:i/>
          <w:iCs/>
          <w:sz w:val="21"/>
          <w:szCs w:val="21"/>
        </w:rPr>
        <w:t xml:space="preserve">w </w:t>
      </w:r>
      <w:r w:rsidR="00942E8B">
        <w:rPr>
          <w:rFonts w:ascii="Century Gothic" w:hAnsi="Century Gothic"/>
          <w:i/>
          <w:iCs/>
          <w:sz w:val="21"/>
          <w:szCs w:val="21"/>
        </w:rPr>
        <w:t>2023 r.</w:t>
      </w:r>
      <w:r w:rsidR="001C06B4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2F70A0">
        <w:rPr>
          <w:rFonts w:ascii="Century Gothic" w:hAnsi="Century Gothic"/>
          <w:i/>
          <w:iCs/>
          <w:sz w:val="21"/>
          <w:szCs w:val="21"/>
        </w:rPr>
        <w:t xml:space="preserve">w świecie HR będzie odmieniane </w:t>
      </w:r>
      <w:r w:rsidR="005D76A0">
        <w:rPr>
          <w:rFonts w:ascii="Century Gothic" w:hAnsi="Century Gothic"/>
          <w:i/>
          <w:iCs/>
          <w:sz w:val="21"/>
          <w:szCs w:val="21"/>
        </w:rPr>
        <w:t xml:space="preserve">przez wszystkie przypadki. </w:t>
      </w:r>
      <w:r w:rsidR="001C06B4">
        <w:rPr>
          <w:rFonts w:ascii="Century Gothic" w:hAnsi="Century Gothic"/>
          <w:i/>
          <w:iCs/>
          <w:sz w:val="21"/>
          <w:szCs w:val="21"/>
        </w:rPr>
        <w:t xml:space="preserve">Mając doświadczenie wyniesione </w:t>
      </w:r>
      <w:r w:rsidR="00701661">
        <w:rPr>
          <w:rFonts w:ascii="Century Gothic" w:hAnsi="Century Gothic"/>
          <w:i/>
          <w:iCs/>
          <w:sz w:val="21"/>
          <w:szCs w:val="21"/>
        </w:rPr>
        <w:t>z</w:t>
      </w:r>
      <w:r w:rsidR="005D76A0">
        <w:rPr>
          <w:rFonts w:ascii="Century Gothic" w:hAnsi="Century Gothic"/>
          <w:i/>
          <w:iCs/>
          <w:sz w:val="21"/>
          <w:szCs w:val="21"/>
        </w:rPr>
        <w:t xml:space="preserve"> pandemii i </w:t>
      </w:r>
      <w:r w:rsidR="001C06B4">
        <w:rPr>
          <w:rFonts w:ascii="Century Gothic" w:hAnsi="Century Gothic"/>
          <w:i/>
          <w:iCs/>
          <w:sz w:val="21"/>
          <w:szCs w:val="21"/>
        </w:rPr>
        <w:t xml:space="preserve">wpływu </w:t>
      </w:r>
      <w:r w:rsidR="005D76A0">
        <w:rPr>
          <w:rFonts w:ascii="Century Gothic" w:hAnsi="Century Gothic"/>
          <w:i/>
          <w:iCs/>
          <w:sz w:val="21"/>
          <w:szCs w:val="21"/>
        </w:rPr>
        <w:t>wojny</w:t>
      </w:r>
      <w:r w:rsidR="00D973E9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1F5E30">
        <w:rPr>
          <w:rFonts w:ascii="Century Gothic" w:hAnsi="Century Gothic"/>
          <w:i/>
          <w:iCs/>
          <w:sz w:val="21"/>
          <w:szCs w:val="21"/>
        </w:rPr>
        <w:t>w Ukrainie</w:t>
      </w:r>
      <w:r w:rsidR="008D28ED">
        <w:rPr>
          <w:rFonts w:ascii="Century Gothic" w:hAnsi="Century Gothic"/>
          <w:i/>
          <w:iCs/>
          <w:sz w:val="21"/>
          <w:szCs w:val="21"/>
        </w:rPr>
        <w:t xml:space="preserve"> na gospodarkę</w:t>
      </w:r>
      <w:r w:rsidR="001F5E30">
        <w:rPr>
          <w:rFonts w:ascii="Century Gothic" w:hAnsi="Century Gothic"/>
          <w:i/>
          <w:iCs/>
          <w:sz w:val="21"/>
          <w:szCs w:val="21"/>
        </w:rPr>
        <w:t xml:space="preserve">, </w:t>
      </w:r>
      <w:r w:rsidR="00C0306B">
        <w:rPr>
          <w:rFonts w:ascii="Century Gothic" w:hAnsi="Century Gothic"/>
          <w:i/>
          <w:iCs/>
          <w:sz w:val="21"/>
          <w:szCs w:val="21"/>
        </w:rPr>
        <w:t xml:space="preserve">działy odpowiedzialne za zasoby ludzkie </w:t>
      </w:r>
      <w:r w:rsidR="00701661">
        <w:rPr>
          <w:rFonts w:ascii="Century Gothic" w:hAnsi="Century Gothic"/>
          <w:i/>
          <w:iCs/>
          <w:sz w:val="21"/>
          <w:szCs w:val="21"/>
        </w:rPr>
        <w:t>powinny rozważyć</w:t>
      </w:r>
      <w:r w:rsidR="00C0306B">
        <w:rPr>
          <w:rFonts w:ascii="Century Gothic" w:hAnsi="Century Gothic"/>
          <w:i/>
          <w:iCs/>
          <w:sz w:val="21"/>
          <w:szCs w:val="21"/>
        </w:rPr>
        <w:t xml:space="preserve"> inne niż do tej pory</w:t>
      </w:r>
      <w:r w:rsidR="00CE29B2">
        <w:rPr>
          <w:rFonts w:ascii="Century Gothic" w:hAnsi="Century Gothic"/>
          <w:i/>
          <w:iCs/>
          <w:sz w:val="21"/>
          <w:szCs w:val="21"/>
        </w:rPr>
        <w:t xml:space="preserve"> mechanizmy </w:t>
      </w:r>
      <w:r w:rsidR="00701661">
        <w:rPr>
          <w:rFonts w:ascii="Century Gothic" w:hAnsi="Century Gothic"/>
          <w:i/>
          <w:iCs/>
          <w:sz w:val="21"/>
          <w:szCs w:val="21"/>
        </w:rPr>
        <w:t>polityki personalnej</w:t>
      </w:r>
      <w:r w:rsidR="00CE29B2">
        <w:rPr>
          <w:rFonts w:ascii="Century Gothic" w:hAnsi="Century Gothic"/>
          <w:i/>
          <w:iCs/>
          <w:sz w:val="21"/>
          <w:szCs w:val="21"/>
        </w:rPr>
        <w:t>. Współczesny HR potrzebuje szy</w:t>
      </w:r>
      <w:r w:rsidR="00D73E73">
        <w:rPr>
          <w:rFonts w:ascii="Century Gothic" w:hAnsi="Century Gothic"/>
          <w:i/>
          <w:iCs/>
          <w:sz w:val="21"/>
          <w:szCs w:val="21"/>
        </w:rPr>
        <w:t xml:space="preserve">bkości i </w:t>
      </w:r>
      <w:r w:rsidR="00DB2881">
        <w:rPr>
          <w:rFonts w:ascii="Century Gothic" w:hAnsi="Century Gothic"/>
          <w:i/>
          <w:iCs/>
          <w:sz w:val="21"/>
          <w:szCs w:val="21"/>
        </w:rPr>
        <w:t>mocniejszej</w:t>
      </w:r>
      <w:r w:rsidR="00D73E73">
        <w:rPr>
          <w:rFonts w:ascii="Century Gothic" w:hAnsi="Century Gothic"/>
          <w:i/>
          <w:iCs/>
          <w:sz w:val="21"/>
          <w:szCs w:val="21"/>
        </w:rPr>
        <w:t xml:space="preserve"> adaptacji do potrzeb </w:t>
      </w:r>
      <w:r w:rsidR="008D28ED">
        <w:rPr>
          <w:rFonts w:ascii="Century Gothic" w:hAnsi="Century Gothic"/>
          <w:i/>
          <w:iCs/>
          <w:sz w:val="21"/>
          <w:szCs w:val="21"/>
        </w:rPr>
        <w:t xml:space="preserve">biznesu oraz </w:t>
      </w:r>
      <w:r w:rsidR="00D73E73">
        <w:rPr>
          <w:rFonts w:ascii="Century Gothic" w:hAnsi="Century Gothic"/>
          <w:i/>
          <w:iCs/>
          <w:sz w:val="21"/>
          <w:szCs w:val="21"/>
        </w:rPr>
        <w:t xml:space="preserve">pracowników. </w:t>
      </w:r>
      <w:r w:rsidR="007E3770">
        <w:rPr>
          <w:rFonts w:ascii="Century Gothic" w:hAnsi="Century Gothic"/>
          <w:i/>
          <w:iCs/>
          <w:sz w:val="21"/>
          <w:szCs w:val="21"/>
        </w:rPr>
        <w:t xml:space="preserve">Firmy, by utrzymać się na rynku, </w:t>
      </w:r>
      <w:r w:rsidR="00D97823">
        <w:rPr>
          <w:rFonts w:ascii="Century Gothic" w:hAnsi="Century Gothic"/>
          <w:i/>
          <w:iCs/>
          <w:sz w:val="21"/>
          <w:szCs w:val="21"/>
        </w:rPr>
        <w:t xml:space="preserve">muszą oszczędzać w sposób mądry, czyli taki, który nie zachwieje ich codziennej zdolności do </w:t>
      </w:r>
      <w:r w:rsidR="007D3F00">
        <w:rPr>
          <w:rFonts w:ascii="Century Gothic" w:hAnsi="Century Gothic"/>
          <w:i/>
          <w:iCs/>
          <w:sz w:val="21"/>
          <w:szCs w:val="21"/>
        </w:rPr>
        <w:t xml:space="preserve">produkcji lub świadczenia usług. </w:t>
      </w:r>
      <w:r w:rsidR="005E7222">
        <w:rPr>
          <w:rFonts w:ascii="Century Gothic" w:hAnsi="Century Gothic"/>
          <w:i/>
          <w:iCs/>
          <w:sz w:val="21"/>
          <w:szCs w:val="21"/>
        </w:rPr>
        <w:t>W naszej ocenie praca stanie się w 2023 roku bardziej „smart” – będzie planowana w krótkiej perspektywie, a pracownicy</w:t>
      </w:r>
      <w:r w:rsidR="00B3744D">
        <w:rPr>
          <w:rFonts w:ascii="Century Gothic" w:hAnsi="Century Gothic"/>
          <w:i/>
          <w:iCs/>
          <w:sz w:val="21"/>
          <w:szCs w:val="21"/>
        </w:rPr>
        <w:t xml:space="preserve"> jeszcze</w:t>
      </w:r>
      <w:r w:rsidR="005E7222">
        <w:rPr>
          <w:rFonts w:ascii="Century Gothic" w:hAnsi="Century Gothic"/>
          <w:i/>
          <w:iCs/>
          <w:sz w:val="21"/>
          <w:szCs w:val="21"/>
        </w:rPr>
        <w:t xml:space="preserve"> bardziej otworzą się na realizowanie </w:t>
      </w:r>
      <w:r w:rsidR="001C06B4">
        <w:rPr>
          <w:rFonts w:ascii="Century Gothic" w:hAnsi="Century Gothic"/>
          <w:i/>
          <w:iCs/>
          <w:sz w:val="21"/>
          <w:szCs w:val="21"/>
        </w:rPr>
        <w:t xml:space="preserve">dodatkowych </w:t>
      </w:r>
      <w:r w:rsidR="005E7222">
        <w:rPr>
          <w:rFonts w:ascii="Century Gothic" w:hAnsi="Century Gothic"/>
          <w:i/>
          <w:iCs/>
          <w:sz w:val="21"/>
          <w:szCs w:val="21"/>
        </w:rPr>
        <w:t>zadań</w:t>
      </w:r>
      <w:r w:rsidR="00721236">
        <w:rPr>
          <w:rFonts w:ascii="Century Gothic" w:hAnsi="Century Gothic"/>
          <w:i/>
          <w:iCs/>
          <w:sz w:val="21"/>
          <w:szCs w:val="21"/>
        </w:rPr>
        <w:t>,</w:t>
      </w:r>
      <w:r w:rsidR="001C06B4">
        <w:rPr>
          <w:rFonts w:ascii="Century Gothic" w:hAnsi="Century Gothic"/>
          <w:i/>
          <w:iCs/>
          <w:sz w:val="21"/>
          <w:szCs w:val="21"/>
        </w:rPr>
        <w:t xml:space="preserve"> niż na ograniczanie się do pracy 8h dziennie</w:t>
      </w:r>
      <w:r w:rsidR="00EF2309">
        <w:rPr>
          <w:rFonts w:ascii="Century Gothic" w:hAnsi="Century Gothic"/>
          <w:i/>
          <w:iCs/>
          <w:sz w:val="21"/>
          <w:szCs w:val="21"/>
        </w:rPr>
        <w:t xml:space="preserve"> u </w:t>
      </w:r>
      <w:r w:rsidR="00721236">
        <w:rPr>
          <w:rFonts w:ascii="Century Gothic" w:hAnsi="Century Gothic"/>
          <w:i/>
          <w:iCs/>
          <w:sz w:val="21"/>
          <w:szCs w:val="21"/>
        </w:rPr>
        <w:t>jednego</w:t>
      </w:r>
      <w:r w:rsidR="00EF2309">
        <w:rPr>
          <w:rFonts w:ascii="Century Gothic" w:hAnsi="Century Gothic"/>
          <w:i/>
          <w:iCs/>
          <w:sz w:val="21"/>
          <w:szCs w:val="21"/>
        </w:rPr>
        <w:t xml:space="preserve"> pracodawcy</w:t>
      </w:r>
      <w:r w:rsidR="00C824A1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AA21B1" w:rsidRPr="00D17EEA">
        <w:rPr>
          <w:rFonts w:ascii="Century Gothic" w:hAnsi="Century Gothic"/>
          <w:sz w:val="21"/>
          <w:szCs w:val="21"/>
        </w:rPr>
        <w:t xml:space="preserve">– </w:t>
      </w:r>
      <w:r w:rsidR="003A2FDE">
        <w:rPr>
          <w:rFonts w:ascii="Century Gothic" w:hAnsi="Century Gothic"/>
          <w:sz w:val="21"/>
          <w:szCs w:val="21"/>
        </w:rPr>
        <w:t>wskazuje</w:t>
      </w:r>
      <w:r w:rsidR="000E2EF5">
        <w:rPr>
          <w:rFonts w:ascii="Century Gothic" w:hAnsi="Century Gothic"/>
          <w:sz w:val="21"/>
          <w:szCs w:val="21"/>
        </w:rPr>
        <w:t xml:space="preserve"> </w:t>
      </w:r>
      <w:r w:rsidR="000E2EF5" w:rsidRPr="00797BA2">
        <w:rPr>
          <w:rFonts w:ascii="Century Gothic" w:hAnsi="Century Gothic"/>
          <w:b/>
          <w:bCs/>
          <w:sz w:val="21"/>
          <w:szCs w:val="21"/>
        </w:rPr>
        <w:t>Magdalena Derlukiewicz,</w:t>
      </w:r>
      <w:r w:rsidR="00AA21B1" w:rsidRPr="00797BA2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0E2EF5" w:rsidRPr="00797BA2">
        <w:rPr>
          <w:rFonts w:ascii="Century Gothic" w:hAnsi="Century Gothic"/>
          <w:b/>
          <w:bCs/>
          <w:sz w:val="21"/>
          <w:szCs w:val="21"/>
        </w:rPr>
        <w:t>Head od Marketing w</w:t>
      </w:r>
      <w:r w:rsidR="00AA21B1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Tikrow.</w:t>
      </w:r>
    </w:p>
    <w:p w14:paraId="589CF5B3" w14:textId="67BB562E" w:rsidR="00165348" w:rsidRDefault="00751D81" w:rsidP="00165348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Wzrośnie zainteresowanie pracą na godziny</w:t>
      </w:r>
    </w:p>
    <w:p w14:paraId="530C0D18" w14:textId="43C4D0CF" w:rsidR="00272E80" w:rsidRDefault="00584CF8" w:rsidP="00272E80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Pon</w:t>
      </w:r>
      <w:r w:rsidR="004E499A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ad 80% Polaków ma obawy, że w związku z rosnącą inflacją ich zarobki nie wystarczą do życia na </w:t>
      </w:r>
      <w:r w:rsidR="00FF50AC">
        <w:rPr>
          <w:rFonts w:ascii="Century Gothic" w:eastAsia="Times New Roman" w:hAnsi="Century Gothic" w:cs="Times New Roman"/>
          <w:sz w:val="21"/>
          <w:szCs w:val="21"/>
          <w:lang w:eastAsia="pl-PL"/>
        </w:rPr>
        <w:t>obecnym poziomie, wynika z sondażu portalu In</w:t>
      </w:r>
      <w:r w:rsidR="00497F44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terviewMe.pl. </w:t>
      </w:r>
      <w:r w:rsidR="000F2AF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Otwiera </w:t>
      </w:r>
      <w:r w:rsidR="008D263A">
        <w:rPr>
          <w:rFonts w:ascii="Century Gothic" w:eastAsia="Times New Roman" w:hAnsi="Century Gothic" w:cs="Times New Roman"/>
          <w:sz w:val="21"/>
          <w:szCs w:val="21"/>
          <w:lang w:eastAsia="pl-PL"/>
        </w:rPr>
        <w:t>t</w:t>
      </w:r>
      <w:r w:rsidR="000F2AFC">
        <w:rPr>
          <w:rFonts w:ascii="Century Gothic" w:eastAsia="Times New Roman" w:hAnsi="Century Gothic" w:cs="Times New Roman"/>
          <w:sz w:val="21"/>
          <w:szCs w:val="21"/>
          <w:lang w:eastAsia="pl-PL"/>
        </w:rPr>
        <w:t>o drogę do większego zainteresowania prac</w:t>
      </w:r>
      <w:r w:rsidR="004E61A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ą </w:t>
      </w:r>
      <w:r w:rsidR="000F2AFC">
        <w:rPr>
          <w:rFonts w:ascii="Century Gothic" w:eastAsia="Times New Roman" w:hAnsi="Century Gothic" w:cs="Times New Roman"/>
          <w:sz w:val="21"/>
          <w:szCs w:val="21"/>
          <w:lang w:eastAsia="pl-PL"/>
        </w:rPr>
        <w:t>dorywcz</w:t>
      </w:r>
      <w:r w:rsidR="004E61A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ą </w:t>
      </w:r>
      <w:r w:rsidR="000F2AF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wymiarze nawet kilku-kilkunastu godzin w miesiącu. </w:t>
      </w:r>
      <w:r w:rsidR="004B1079">
        <w:rPr>
          <w:rFonts w:ascii="Century Gothic" w:eastAsia="Times New Roman" w:hAnsi="Century Gothic" w:cs="Times New Roman"/>
          <w:sz w:val="21"/>
          <w:szCs w:val="21"/>
          <w:lang w:eastAsia="pl-PL"/>
        </w:rPr>
        <w:t>Wzorem krajów zachodnich, a szczególnie USA, Polacy chętniej będą decydować się na dorobienie sobie do podstawowego wynagrodzenia nawet w obszarze, którym nie zajmują się na co dzień</w:t>
      </w:r>
      <w:r w:rsidR="00B3744D">
        <w:rPr>
          <w:rFonts w:ascii="Century Gothic" w:eastAsia="Times New Roman" w:hAnsi="Century Gothic" w:cs="Times New Roman"/>
          <w:sz w:val="21"/>
          <w:szCs w:val="21"/>
          <w:lang w:eastAsia="pl-PL"/>
        </w:rPr>
        <w:t>, by</w:t>
      </w:r>
      <w:r w:rsidR="0045451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="00DB36B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podreperować </w:t>
      </w:r>
      <w:r w:rsidR="008D558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swój </w:t>
      </w:r>
      <w:r w:rsidR="00DB36B0">
        <w:rPr>
          <w:rFonts w:ascii="Century Gothic" w:eastAsia="Times New Roman" w:hAnsi="Century Gothic" w:cs="Times New Roman"/>
          <w:sz w:val="21"/>
          <w:szCs w:val="21"/>
          <w:lang w:eastAsia="pl-PL"/>
        </w:rPr>
        <w:t>budżet.</w:t>
      </w:r>
      <w:r w:rsidR="0024702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Działy HR będą więc musiały skorzystać z rozwiązań, które dadzą im dostęp do kandydatów gotowych do podjęcia pracy tu i teraz, na krótki czas.</w:t>
      </w:r>
    </w:p>
    <w:p w14:paraId="35147431" w14:textId="0EE9A060" w:rsidR="00B3744D" w:rsidRDefault="001741D7" w:rsidP="00272E80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1741D7">
        <w:rPr>
          <w:rFonts w:ascii="Century Gothic" w:hAnsi="Century Gothic"/>
          <w:i/>
          <w:iCs/>
          <w:sz w:val="21"/>
          <w:szCs w:val="21"/>
        </w:rPr>
        <w:t xml:space="preserve">– </w:t>
      </w:r>
      <w:r w:rsidR="00B3744D">
        <w:rPr>
          <w:rFonts w:ascii="Century Gothic" w:hAnsi="Century Gothic"/>
          <w:i/>
          <w:iCs/>
          <w:sz w:val="21"/>
          <w:szCs w:val="21"/>
        </w:rPr>
        <w:t xml:space="preserve">Widzimy rosnący trend zainteresowania pracą w systemie godzinowym na krótkie zlecenia, bez wiązania się z jednym pracodawcą. </w:t>
      </w:r>
      <w:r w:rsidR="00E01966">
        <w:rPr>
          <w:rFonts w:ascii="Century Gothic" w:hAnsi="Century Gothic"/>
          <w:i/>
          <w:iCs/>
          <w:sz w:val="21"/>
          <w:szCs w:val="21"/>
        </w:rPr>
        <w:t xml:space="preserve">Tikrow to baza dniówek, krótkich zleceń z natychmiastową wypłatą. </w:t>
      </w:r>
      <w:r w:rsidR="00B3744D">
        <w:rPr>
          <w:rFonts w:ascii="Century Gothic" w:hAnsi="Century Gothic"/>
          <w:i/>
          <w:iCs/>
          <w:sz w:val="21"/>
          <w:szCs w:val="21"/>
        </w:rPr>
        <w:t>Według naszych danych w ubiegłym roku 60% zleceń było przyjmowanych w 24h od wystawienia. W tym roku w 24h jest przyjmowanych aż 80% wystawionych w aplikacji ofert</w:t>
      </w:r>
      <w:r w:rsidR="003E7F36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B3744D" w:rsidRPr="001741D7">
        <w:rPr>
          <w:rFonts w:ascii="Century Gothic" w:hAnsi="Century Gothic"/>
          <w:i/>
          <w:iCs/>
          <w:sz w:val="21"/>
          <w:szCs w:val="21"/>
        </w:rPr>
        <w:t>–</w:t>
      </w:r>
      <w:r w:rsidR="00B3744D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B3744D">
        <w:rPr>
          <w:rFonts w:ascii="Century Gothic" w:hAnsi="Century Gothic"/>
          <w:sz w:val="21"/>
          <w:szCs w:val="21"/>
        </w:rPr>
        <w:t>podkreśla</w:t>
      </w:r>
      <w:r w:rsidR="00B3744D" w:rsidRPr="00D17EEA">
        <w:rPr>
          <w:rFonts w:ascii="Century Gothic" w:hAnsi="Century Gothic"/>
          <w:sz w:val="21"/>
          <w:szCs w:val="21"/>
        </w:rPr>
        <w:t xml:space="preserve"> </w:t>
      </w:r>
      <w:r w:rsidR="000E2EF5" w:rsidRPr="00177DFA">
        <w:rPr>
          <w:rFonts w:ascii="Century Gothic" w:hAnsi="Century Gothic"/>
          <w:b/>
          <w:bCs/>
          <w:sz w:val="21"/>
          <w:szCs w:val="21"/>
        </w:rPr>
        <w:t>Magdalena Derlukiewicz, Head od Marketing w</w:t>
      </w:r>
      <w:r w:rsidR="000E2EF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B3744D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Tikrow.</w:t>
      </w:r>
    </w:p>
    <w:p w14:paraId="5E2CB053" w14:textId="77777777" w:rsidR="00403E06" w:rsidRDefault="00403E06" w:rsidP="00272E80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</w:p>
    <w:p w14:paraId="7666699B" w14:textId="77777777" w:rsidR="00403E06" w:rsidRDefault="00403E06" w:rsidP="00272E80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</w:p>
    <w:p w14:paraId="1D1EC1DB" w14:textId="573DE48B" w:rsidR="002142F6" w:rsidRDefault="002142F6" w:rsidP="002142F6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lastRenderedPageBreak/>
        <w:t>Firmy i praco</w:t>
      </w:r>
      <w:r w:rsidR="008D558F"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wnicy</w:t>
      </w: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 xml:space="preserve"> wybiorą smart working</w:t>
      </w:r>
    </w:p>
    <w:p w14:paraId="3FFFA7BB" w14:textId="223A06CC" w:rsidR="002142F6" w:rsidRDefault="002142F6" w:rsidP="002142F6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2023 rok może obfitować w wysyp ofert pracy konstruowanych w duchu smart workingu.</w:t>
      </w:r>
      <w:r w:rsidR="002E030D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Firmy, by lepiej gospodarować budżetami przeznaczanymi na zatrudnienie, uelastycznią grafiki i stworzą wirtualne stanowiska odpowiadające na bieżące </w:t>
      </w:r>
      <w:r w:rsidR="003B1071">
        <w:rPr>
          <w:rFonts w:ascii="Century Gothic" w:eastAsia="Times New Roman" w:hAnsi="Century Gothic" w:cs="Times New Roman"/>
          <w:sz w:val="21"/>
          <w:szCs w:val="21"/>
          <w:lang w:eastAsia="pl-PL"/>
        </w:rPr>
        <w:t>potrzeby biznesowe.</w:t>
      </w:r>
      <w:r w:rsidR="00FD0D2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To duża szansa dla studentów i ludzi młodych, którzy po </w:t>
      </w:r>
      <w:r w:rsidR="00BB0C4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pierwsze nie dysponują zazwyczaj czasem w wymiarze 8h dziennie przez cały tydzień, po drugie </w:t>
      </w:r>
      <w:r w:rsidR="0086692D">
        <w:rPr>
          <w:rFonts w:ascii="Century Gothic" w:eastAsia="Times New Roman" w:hAnsi="Century Gothic" w:cs="Times New Roman"/>
          <w:sz w:val="21"/>
          <w:szCs w:val="21"/>
          <w:lang w:eastAsia="pl-PL"/>
        </w:rPr>
        <w:t>chcą sprawdzić różne stanowiska pracy i nie przywiązują się do jednego pracodawcy tak, jak ich starsi koleżanki i koledzy.</w:t>
      </w:r>
      <w:r w:rsidR="00722507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Coraz więcej przedstawicieli pokolenia Z i osoby młodsze łączą szereg zobowiązań – studia, staże zawodowe, treningi – chcąc jednocześnie dorobić sobie kilka czy kilkanaście dni w miesiącu.</w:t>
      </w:r>
    </w:p>
    <w:p w14:paraId="4DD27B1D" w14:textId="0A060965" w:rsidR="002142F6" w:rsidRPr="001741D7" w:rsidRDefault="002142F6" w:rsidP="002142F6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1"/>
          <w:szCs w:val="21"/>
        </w:rPr>
      </w:pPr>
      <w:r w:rsidRPr="008F50FD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– Połączenie pracy z zajęciami na uczelni czy codziennymi obowiązkami zyskuje coraz większą popularność w Polsce. 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A</w:t>
      </w:r>
      <w:r w:rsidRPr="008F50FD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ż 73% zarejestrowanych w aplikacji Tikrow to studenci. Widzimy, że jest to zdeterminowana grupa, która świadczy pracę wysokiej jakości (średnia ocena wykonanych zleceń to 4,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8</w:t>
      </w:r>
      <w:r w:rsidRPr="008F50FD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/5 - oceny wystawiają klienci po zakończonej pracy). Mamy tu do czynienia z czystym win-win: pracodawca potrzebuje elastycznego pracownika, student zaś potrzebuje elastycznego grafiku pracy - korzystają na tym dwie strony. Wierzymy w to, że trend będzie się umacniał –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</w:t>
      </w:r>
      <w:r>
        <w:rPr>
          <w:rFonts w:ascii="Century Gothic" w:hAnsi="Century Gothic"/>
          <w:sz w:val="21"/>
          <w:szCs w:val="21"/>
        </w:rPr>
        <w:t>zaznacza</w:t>
      </w:r>
      <w:r w:rsidRPr="00D17EEA">
        <w:rPr>
          <w:rFonts w:ascii="Century Gothic" w:hAnsi="Century Gothic"/>
          <w:sz w:val="21"/>
          <w:szCs w:val="21"/>
        </w:rPr>
        <w:t xml:space="preserve"> </w:t>
      </w:r>
      <w:r w:rsidR="000E2EF5" w:rsidRPr="00177DFA">
        <w:rPr>
          <w:rFonts w:ascii="Century Gothic" w:hAnsi="Century Gothic"/>
          <w:b/>
          <w:bCs/>
          <w:sz w:val="21"/>
          <w:szCs w:val="21"/>
        </w:rPr>
        <w:t>Magdalena Derlukiewicz</w:t>
      </w:r>
      <w:r w:rsidR="000E2EF5"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z Tikrow</w:t>
      </w:r>
      <w:r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.</w:t>
      </w:r>
    </w:p>
    <w:p w14:paraId="7A9A829A" w14:textId="0B988A48" w:rsidR="00462CB3" w:rsidRDefault="00206782" w:rsidP="00272E80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Poziom adaptacji HR wzrośnie</w:t>
      </w:r>
    </w:p>
    <w:p w14:paraId="204F9C88" w14:textId="1D535DCF" w:rsidR="00206782" w:rsidRPr="00206782" w:rsidRDefault="000B2CC8" w:rsidP="00272E80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Potrzeby pracowników </w:t>
      </w:r>
      <w:r w:rsidR="008B52E0"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i oczekiwania biznesu </w:t>
      </w:r>
      <w:r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przyszłym roku zdeterminują sposób pracy i </w:t>
      </w:r>
      <w:r w:rsid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rozwój </w:t>
      </w:r>
      <w:r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>technologi</w:t>
      </w:r>
      <w:r w:rsid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>i</w:t>
      </w:r>
      <w:r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wykorzystywan</w:t>
      </w:r>
      <w:r w:rsid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>ych</w:t>
      </w:r>
      <w:r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 działach HR. </w:t>
      </w:r>
      <w:r w:rsidR="008B52E0"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Wzrośnie poziom adaptacji </w:t>
      </w:r>
      <w:r w:rsidR="00B47215"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>sektora zasobów ludzkich do sytuacji makroekonomicznej, profilu pracowników dostępnych na rynku oraz wymagań stawianych pr</w:t>
      </w:r>
      <w:r w:rsidR="00E70AF3" w:rsidRPr="00E70AF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zez </w:t>
      </w:r>
      <w:r w:rsidR="0086154B">
        <w:rPr>
          <w:rFonts w:ascii="Century Gothic" w:eastAsia="Times New Roman" w:hAnsi="Century Gothic" w:cs="Times New Roman"/>
          <w:sz w:val="21"/>
          <w:szCs w:val="21"/>
          <w:lang w:eastAsia="pl-PL"/>
        </w:rPr>
        <w:t>współpracowników wewnątrz organizacji</w:t>
      </w:r>
      <w:r w:rsidR="000C2175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. </w:t>
      </w:r>
      <w:r w:rsidR="007A32B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Rekruterzy będą musieli sięgnąć po nowe rozwiązania, które skrócą czas </w:t>
      </w:r>
      <w:r w:rsidR="009822F4">
        <w:rPr>
          <w:rFonts w:ascii="Century Gothic" w:eastAsia="Times New Roman" w:hAnsi="Century Gothic" w:cs="Times New Roman"/>
          <w:sz w:val="21"/>
          <w:szCs w:val="21"/>
          <w:lang w:eastAsia="pl-PL"/>
        </w:rPr>
        <w:t>naboru do pracy</w:t>
      </w:r>
      <w:r w:rsidR="007A32B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, ograniczą koszty i </w:t>
      </w:r>
      <w:r w:rsidR="00135A2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zapewnią dostęp do bazy pracowników zdeterminowanych do </w:t>
      </w:r>
      <w:r w:rsidR="009822F4">
        <w:rPr>
          <w:rFonts w:ascii="Century Gothic" w:eastAsia="Times New Roman" w:hAnsi="Century Gothic" w:cs="Times New Roman"/>
          <w:sz w:val="21"/>
          <w:szCs w:val="21"/>
          <w:lang w:eastAsia="pl-PL"/>
        </w:rPr>
        <w:t>zatrudnienia na pojedyncze</w:t>
      </w:r>
      <w:r w:rsidR="00135A2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godziny</w:t>
      </w:r>
      <w:r w:rsidR="009822F4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czy dni,</w:t>
      </w:r>
      <w:r w:rsidR="00135A2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 ramach elastycznych grafików, które dostosują do swoich możliwości.</w:t>
      </w:r>
      <w:r w:rsidR="00DD019B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</w:p>
    <w:p w14:paraId="67C5DE30" w14:textId="24A32F06" w:rsidR="00FB00CC" w:rsidRPr="001741D7" w:rsidRDefault="00FB00CC" w:rsidP="00FB00CC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1"/>
          <w:szCs w:val="21"/>
        </w:rPr>
      </w:pPr>
      <w:r w:rsidRPr="001741D7">
        <w:rPr>
          <w:rFonts w:ascii="Century Gothic" w:hAnsi="Century Gothic"/>
          <w:i/>
          <w:iCs/>
          <w:sz w:val="21"/>
          <w:szCs w:val="21"/>
        </w:rPr>
        <w:t>–</w:t>
      </w:r>
      <w:r w:rsidRPr="00FB00C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Pr="00FB00CC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Rekrutacja częściej przybierać będzie formę sezonową i adhockową – pracodawcy potrzebować będą wsparcia na pojedyncze, krótkoterminowe zlecenia, gdzie nie ma czasu na </w:t>
      </w:r>
      <w:r w:rsidR="00942E8B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długie procesy rekrutacji</w:t>
      </w:r>
      <w:r w:rsidRPr="00FB00CC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. W szczególności dotyczy to takich gałęzi gospodarki jak produkcja, handel czy logistyka</w:t>
      </w:r>
      <w:r w:rsidR="00942E8B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oraz stanowisk niższego szczebla. Działy HR staną przed wyzwaniem konieczności pozyskiwania pracowników „na już”, </w:t>
      </w:r>
      <w:r w:rsidR="0006731E">
        <w:rPr>
          <w:rFonts w:ascii="Century Gothic" w:hAnsi="Century Gothic"/>
          <w:i/>
          <w:iCs/>
          <w:sz w:val="21"/>
          <w:szCs w:val="21"/>
        </w:rPr>
        <w:t xml:space="preserve">w ramach </w:t>
      </w:r>
      <w:r w:rsidR="00B22661">
        <w:rPr>
          <w:rFonts w:ascii="Century Gothic" w:hAnsi="Century Gothic"/>
          <w:i/>
          <w:iCs/>
          <w:sz w:val="21"/>
          <w:szCs w:val="21"/>
        </w:rPr>
        <w:t>krótkich zleceń odpowiadających na potrzeby</w:t>
      </w:r>
      <w:r w:rsidR="0006731E">
        <w:rPr>
          <w:rFonts w:ascii="Century Gothic" w:hAnsi="Century Gothic"/>
          <w:i/>
          <w:iCs/>
          <w:sz w:val="21"/>
          <w:szCs w:val="21"/>
        </w:rPr>
        <w:t xml:space="preserve"> biznes</w:t>
      </w:r>
      <w:r w:rsidR="00B22661">
        <w:rPr>
          <w:rFonts w:ascii="Century Gothic" w:hAnsi="Century Gothic"/>
          <w:i/>
          <w:iCs/>
          <w:sz w:val="21"/>
          <w:szCs w:val="21"/>
        </w:rPr>
        <w:t>u</w:t>
      </w:r>
      <w:r w:rsidR="0006731E">
        <w:rPr>
          <w:rFonts w:ascii="Century Gothic" w:hAnsi="Century Gothic"/>
          <w:i/>
          <w:iCs/>
          <w:sz w:val="21"/>
          <w:szCs w:val="21"/>
        </w:rPr>
        <w:t xml:space="preserve"> </w:t>
      </w:r>
      <w:r w:rsidRPr="001741D7">
        <w:rPr>
          <w:rFonts w:ascii="Century Gothic" w:hAnsi="Century Gothic"/>
          <w:i/>
          <w:iCs/>
          <w:sz w:val="21"/>
          <w:szCs w:val="21"/>
        </w:rPr>
        <w:t>–</w:t>
      </w:r>
      <w:r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DC3C38">
        <w:rPr>
          <w:rFonts w:ascii="Century Gothic" w:hAnsi="Century Gothic"/>
          <w:sz w:val="21"/>
          <w:szCs w:val="21"/>
        </w:rPr>
        <w:t>komentuje</w:t>
      </w:r>
      <w:r w:rsidRPr="00D17EEA">
        <w:rPr>
          <w:rFonts w:ascii="Century Gothic" w:hAnsi="Century Gothic"/>
          <w:sz w:val="21"/>
          <w:szCs w:val="21"/>
        </w:rPr>
        <w:t xml:space="preserve"> </w:t>
      </w:r>
      <w:r w:rsidR="00C84C87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Magdalena Derlukiewicz</w:t>
      </w:r>
      <w:r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.</w:t>
      </w:r>
    </w:p>
    <w:p w14:paraId="2737DCF5" w14:textId="3C421513" w:rsidR="000663D6" w:rsidRPr="00BE29A8" w:rsidRDefault="000663D6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***</w:t>
      </w:r>
    </w:p>
    <w:p w14:paraId="21ABF8B8" w14:textId="0A8EE15E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Tikrow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to agencja pracy natychmiastowej, dzięki której pracę i pracownika można znaleźć już 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48 godzin.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 prostej i intuicyjnej aplikacji, firmy mierzące się z problemem braku kadry, zyskują dostęp do bazy ponad</w:t>
      </w:r>
      <w:r w:rsidRPr="004E0693">
        <w:rPr>
          <w:lang w:eastAsia="pl-PL"/>
        </w:rPr>
        <w:t> </w:t>
      </w:r>
      <w:r w:rsidR="00F072AB">
        <w:rPr>
          <w:rFonts w:ascii="Century Gothic" w:hAnsi="Century Gothic"/>
          <w:sz w:val="20"/>
          <w:szCs w:val="20"/>
          <w:lang w:eastAsia="pl-PL"/>
        </w:rPr>
        <w:t>5</w:t>
      </w:r>
      <w:r w:rsidR="007F3DC0">
        <w:rPr>
          <w:rFonts w:ascii="Century Gothic" w:hAnsi="Century Gothic"/>
          <w:sz w:val="20"/>
          <w:szCs w:val="20"/>
          <w:lang w:eastAsia="pl-PL"/>
        </w:rPr>
        <w:t>0</w:t>
      </w:r>
      <w:r w:rsidR="007F3DC0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tys. potencjalnych pracowników. Z kolei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osoby poszukujące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pracy dorywczej, mogą szybko znaleźć zlecenie na konkretny dzień, tzw. dniówkę, w dogodnym miejscu i z określonym wynagrodzeniem, </w:t>
      </w:r>
      <w:r w:rsidRPr="004E0693">
        <w:rPr>
          <w:rFonts w:ascii="Century Gothic" w:hAnsi="Century Gothic"/>
          <w:sz w:val="20"/>
          <w:szCs w:val="20"/>
          <w:lang w:eastAsia="pl-PL"/>
        </w:rPr>
        <w:lastRenderedPageBreak/>
        <w:t xml:space="preserve">bez długoterminowych zobowiązań. Sukces konceptu potwierdza fakt, że </w:t>
      </w:r>
      <w:r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przypadku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ponad 80%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zadań zleconych na platformie Tikrow, firmy znalazły pracowników w ciągu 24 godzin.</w:t>
      </w:r>
      <w:r w:rsidRPr="004E0693">
        <w:rPr>
          <w:lang w:eastAsia="pl-PL"/>
        </w:rPr>
        <w:t> </w:t>
      </w:r>
    </w:p>
    <w:p w14:paraId="5D715F98" w14:textId="6B62A54D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 aplikacji Tikrow dniówki publikuje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ok. 150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retail, produkcj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logistyk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HoReCa czy</w:t>
      </w:r>
      <w:r w:rsidR="0085066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Wśród nich są m.in. Maxi Zoo, Biedronka, ACTION, Decathlon, Pandora, Galeria Wypieków, Media Markt, Homla, Komfort czy Logicas.</w:t>
      </w:r>
    </w:p>
    <w:p w14:paraId="616D1F43" w14:textId="77777777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</w:p>
    <w:p w14:paraId="32552D66" w14:textId="774DD798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7" w:history="1">
        <w:r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1EF3D4B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0643FDE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Sylwia Maj</w:t>
      </w:r>
    </w:p>
    <w:p w14:paraId="7970C934" w14:textId="4790FBC6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76E3CFDD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+48503701452</w:t>
      </w:r>
    </w:p>
    <w:p w14:paraId="1CAA5AC8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8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sylwia.maj@zoom-bsc.pl</w:t>
        </w:r>
      </w:hyperlink>
    </w:p>
    <w:p w14:paraId="4E696A1F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</w:p>
    <w:p w14:paraId="3D18FB55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Piotr Jasiński</w:t>
      </w:r>
    </w:p>
    <w:p w14:paraId="026EBE14" w14:textId="6AEF6703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6D7EC2B4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+48533327182</w:t>
      </w:r>
    </w:p>
    <w:p w14:paraId="294DB2BD" w14:textId="625F8944" w:rsidR="005A2D8A" w:rsidRPr="004D5A70" w:rsidRDefault="00D430A5" w:rsidP="00D17E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9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piotr.jasinski@zoom-bsc.pl</w:t>
        </w:r>
      </w:hyperlink>
    </w:p>
    <w:sectPr w:rsidR="005A2D8A" w:rsidRPr="004D5A70" w:rsidSect="00BE29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A7C3" w14:textId="77777777" w:rsidR="009413C8" w:rsidRDefault="009413C8" w:rsidP="00C9676A">
      <w:r>
        <w:separator/>
      </w:r>
    </w:p>
  </w:endnote>
  <w:endnote w:type="continuationSeparator" w:id="0">
    <w:p w14:paraId="11977703" w14:textId="77777777" w:rsidR="009413C8" w:rsidRDefault="009413C8" w:rsidP="00C9676A">
      <w:r>
        <w:continuationSeparator/>
      </w:r>
    </w:p>
  </w:endnote>
  <w:endnote w:type="continuationNotice" w:id="1">
    <w:p w14:paraId="4F2F3F85" w14:textId="77777777" w:rsidR="009413C8" w:rsidRDefault="009413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altName w:val="Calibri"/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altName w:val="Calibri"/>
    <w:panose1 w:val="020B07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01B963E0" w:rsidR="00F6532A" w:rsidRDefault="00F6532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1200ACF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BA87" w14:textId="77777777" w:rsidR="009413C8" w:rsidRDefault="009413C8" w:rsidP="00C9676A">
      <w:r>
        <w:separator/>
      </w:r>
    </w:p>
  </w:footnote>
  <w:footnote w:type="continuationSeparator" w:id="0">
    <w:p w14:paraId="26D7BF79" w14:textId="77777777" w:rsidR="009413C8" w:rsidRDefault="009413C8" w:rsidP="00C9676A">
      <w:r>
        <w:continuationSeparator/>
      </w:r>
    </w:p>
  </w:footnote>
  <w:footnote w:type="continuationNotice" w:id="1">
    <w:p w14:paraId="548CE702" w14:textId="77777777" w:rsidR="009413C8" w:rsidRDefault="009413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F2E5E75" w14:paraId="3B4491E5" w14:textId="77777777" w:rsidTr="0F2E5E75">
      <w:trPr>
        <w:trHeight w:val="300"/>
      </w:trPr>
      <w:tc>
        <w:tcPr>
          <w:tcW w:w="3400" w:type="dxa"/>
        </w:tcPr>
        <w:p w14:paraId="5828CC4F" w14:textId="3850EDB7" w:rsidR="0F2E5E75" w:rsidRDefault="0F2E5E75" w:rsidP="0F2E5E75">
          <w:pPr>
            <w:pStyle w:val="Nagwek"/>
            <w:ind w:left="-115"/>
            <w:jc w:val="left"/>
          </w:pPr>
        </w:p>
      </w:tc>
      <w:tc>
        <w:tcPr>
          <w:tcW w:w="3400" w:type="dxa"/>
        </w:tcPr>
        <w:p w14:paraId="622C3BA7" w14:textId="2F23C68A" w:rsidR="0F2E5E75" w:rsidRDefault="0F2E5E75" w:rsidP="0F2E5E75">
          <w:pPr>
            <w:pStyle w:val="Nagwek"/>
            <w:jc w:val="center"/>
          </w:pPr>
        </w:p>
      </w:tc>
      <w:tc>
        <w:tcPr>
          <w:tcW w:w="3400" w:type="dxa"/>
        </w:tcPr>
        <w:p w14:paraId="0E484301" w14:textId="1F341061" w:rsidR="0F2E5E75" w:rsidRDefault="0F2E5E75" w:rsidP="0F2E5E75">
          <w:pPr>
            <w:pStyle w:val="Nagwek"/>
            <w:ind w:right="-115"/>
            <w:jc w:val="right"/>
          </w:pPr>
        </w:p>
      </w:tc>
    </w:tr>
  </w:tbl>
  <w:p w14:paraId="67AA0023" w14:textId="3B3E456B" w:rsidR="0F2E5E75" w:rsidRDefault="0F2E5E75" w:rsidP="0F2E5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233E5C5C" w:rsidR="00F6532A" w:rsidRPr="004D5A70" w:rsidRDefault="52C9BDE1" w:rsidP="52C9BDE1">
    <w:pPr>
      <w:pStyle w:val="Nagwek"/>
      <w:spacing w:line="276" w:lineRule="auto"/>
      <w:jc w:val="right"/>
      <w:rPr>
        <w:rFonts w:ascii="Century Gothic" w:hAnsi="Century Gothic"/>
        <w:sz w:val="18"/>
        <w:szCs w:val="18"/>
      </w:rPr>
    </w:pPr>
    <w:r w:rsidRPr="52C9BDE1">
      <w:rPr>
        <w:rFonts w:ascii="Century Gothic" w:hAnsi="Century Gothic"/>
        <w:sz w:val="18"/>
        <w:szCs w:val="18"/>
      </w:rPr>
      <w:t>20 grudnia 2022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5824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447902">
    <w:abstractNumId w:val="0"/>
  </w:num>
  <w:num w:numId="2" w16cid:durableId="58472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00258"/>
    <w:rsid w:val="00000908"/>
    <w:rsid w:val="00001B76"/>
    <w:rsid w:val="00005069"/>
    <w:rsid w:val="00006DAA"/>
    <w:rsid w:val="00017F83"/>
    <w:rsid w:val="00043202"/>
    <w:rsid w:val="00055A11"/>
    <w:rsid w:val="00060B0D"/>
    <w:rsid w:val="00062331"/>
    <w:rsid w:val="000663D6"/>
    <w:rsid w:val="0006731E"/>
    <w:rsid w:val="000735E9"/>
    <w:rsid w:val="00076D64"/>
    <w:rsid w:val="000914EB"/>
    <w:rsid w:val="000973E1"/>
    <w:rsid w:val="000A3D4F"/>
    <w:rsid w:val="000A4942"/>
    <w:rsid w:val="000B2CC8"/>
    <w:rsid w:val="000B35FD"/>
    <w:rsid w:val="000B3BE0"/>
    <w:rsid w:val="000B4DEA"/>
    <w:rsid w:val="000C2175"/>
    <w:rsid w:val="000C6975"/>
    <w:rsid w:val="000E2EF5"/>
    <w:rsid w:val="000E5589"/>
    <w:rsid w:val="000E745E"/>
    <w:rsid w:val="000F2AFC"/>
    <w:rsid w:val="000F42DB"/>
    <w:rsid w:val="000F682C"/>
    <w:rsid w:val="001124B2"/>
    <w:rsid w:val="00122EBC"/>
    <w:rsid w:val="00124B54"/>
    <w:rsid w:val="00125A43"/>
    <w:rsid w:val="00125B33"/>
    <w:rsid w:val="00131C69"/>
    <w:rsid w:val="00133772"/>
    <w:rsid w:val="00135226"/>
    <w:rsid w:val="00135A2F"/>
    <w:rsid w:val="001434EE"/>
    <w:rsid w:val="001435CE"/>
    <w:rsid w:val="00161AA2"/>
    <w:rsid w:val="00165348"/>
    <w:rsid w:val="0017250A"/>
    <w:rsid w:val="00172CE1"/>
    <w:rsid w:val="001741D7"/>
    <w:rsid w:val="0017442D"/>
    <w:rsid w:val="00180ADB"/>
    <w:rsid w:val="00183C6A"/>
    <w:rsid w:val="00187C8C"/>
    <w:rsid w:val="001A523E"/>
    <w:rsid w:val="001A5AF4"/>
    <w:rsid w:val="001C06B4"/>
    <w:rsid w:val="001D4465"/>
    <w:rsid w:val="001F439C"/>
    <w:rsid w:val="001F51E6"/>
    <w:rsid w:val="001F5E30"/>
    <w:rsid w:val="0020369E"/>
    <w:rsid w:val="00205F62"/>
    <w:rsid w:val="00206782"/>
    <w:rsid w:val="002121F3"/>
    <w:rsid w:val="002142F6"/>
    <w:rsid w:val="00217DEE"/>
    <w:rsid w:val="002222AD"/>
    <w:rsid w:val="002242AB"/>
    <w:rsid w:val="002257CB"/>
    <w:rsid w:val="00233706"/>
    <w:rsid w:val="00233F77"/>
    <w:rsid w:val="00235C7F"/>
    <w:rsid w:val="00235C92"/>
    <w:rsid w:val="0024136A"/>
    <w:rsid w:val="00243D59"/>
    <w:rsid w:val="00247028"/>
    <w:rsid w:val="0025177A"/>
    <w:rsid w:val="00253381"/>
    <w:rsid w:val="002556D0"/>
    <w:rsid w:val="00256F11"/>
    <w:rsid w:val="00272E80"/>
    <w:rsid w:val="00272E9E"/>
    <w:rsid w:val="0027428E"/>
    <w:rsid w:val="002743A2"/>
    <w:rsid w:val="00280AB7"/>
    <w:rsid w:val="0028192F"/>
    <w:rsid w:val="00282728"/>
    <w:rsid w:val="00283416"/>
    <w:rsid w:val="002841B5"/>
    <w:rsid w:val="002949A3"/>
    <w:rsid w:val="002B494C"/>
    <w:rsid w:val="002B6D9A"/>
    <w:rsid w:val="002D1FE2"/>
    <w:rsid w:val="002E030D"/>
    <w:rsid w:val="002E0478"/>
    <w:rsid w:val="002F284C"/>
    <w:rsid w:val="002F70A0"/>
    <w:rsid w:val="0030006B"/>
    <w:rsid w:val="003049A8"/>
    <w:rsid w:val="003056A3"/>
    <w:rsid w:val="00323B9A"/>
    <w:rsid w:val="003342BE"/>
    <w:rsid w:val="00354449"/>
    <w:rsid w:val="00357EF6"/>
    <w:rsid w:val="0037185D"/>
    <w:rsid w:val="0038242B"/>
    <w:rsid w:val="00382D9F"/>
    <w:rsid w:val="00394357"/>
    <w:rsid w:val="003A1C38"/>
    <w:rsid w:val="003A2BFD"/>
    <w:rsid w:val="003A2FDE"/>
    <w:rsid w:val="003B1071"/>
    <w:rsid w:val="003B219A"/>
    <w:rsid w:val="003B46AD"/>
    <w:rsid w:val="003B5BC6"/>
    <w:rsid w:val="003C2A6F"/>
    <w:rsid w:val="003D31B6"/>
    <w:rsid w:val="003D3556"/>
    <w:rsid w:val="003E31E7"/>
    <w:rsid w:val="003E7F36"/>
    <w:rsid w:val="003F18ED"/>
    <w:rsid w:val="00403E06"/>
    <w:rsid w:val="00406E34"/>
    <w:rsid w:val="004100DC"/>
    <w:rsid w:val="004127A8"/>
    <w:rsid w:val="0041464D"/>
    <w:rsid w:val="00420CC8"/>
    <w:rsid w:val="00422510"/>
    <w:rsid w:val="00423CF3"/>
    <w:rsid w:val="00425160"/>
    <w:rsid w:val="004434D3"/>
    <w:rsid w:val="00446EEB"/>
    <w:rsid w:val="00454513"/>
    <w:rsid w:val="004573F0"/>
    <w:rsid w:val="004574EE"/>
    <w:rsid w:val="00457C69"/>
    <w:rsid w:val="004616FC"/>
    <w:rsid w:val="00462630"/>
    <w:rsid w:val="00462CB3"/>
    <w:rsid w:val="00464CE1"/>
    <w:rsid w:val="00477B49"/>
    <w:rsid w:val="00481495"/>
    <w:rsid w:val="00485684"/>
    <w:rsid w:val="00486AC1"/>
    <w:rsid w:val="00493E8D"/>
    <w:rsid w:val="00497F44"/>
    <w:rsid w:val="004A2C7D"/>
    <w:rsid w:val="004A3FFA"/>
    <w:rsid w:val="004B001B"/>
    <w:rsid w:val="004B1079"/>
    <w:rsid w:val="004C053F"/>
    <w:rsid w:val="004C70B2"/>
    <w:rsid w:val="004D1E6A"/>
    <w:rsid w:val="004D2F75"/>
    <w:rsid w:val="004D5A70"/>
    <w:rsid w:val="004D7D8A"/>
    <w:rsid w:val="004E0693"/>
    <w:rsid w:val="004E2600"/>
    <w:rsid w:val="004E499A"/>
    <w:rsid w:val="004E53AC"/>
    <w:rsid w:val="004E61AC"/>
    <w:rsid w:val="004F3DF6"/>
    <w:rsid w:val="0050340B"/>
    <w:rsid w:val="00503754"/>
    <w:rsid w:val="00505E73"/>
    <w:rsid w:val="00514C60"/>
    <w:rsid w:val="00524BF5"/>
    <w:rsid w:val="00527414"/>
    <w:rsid w:val="00532639"/>
    <w:rsid w:val="00545A36"/>
    <w:rsid w:val="00545E44"/>
    <w:rsid w:val="005465A4"/>
    <w:rsid w:val="00555099"/>
    <w:rsid w:val="00560E62"/>
    <w:rsid w:val="00561F07"/>
    <w:rsid w:val="00566B42"/>
    <w:rsid w:val="005742DC"/>
    <w:rsid w:val="0058093E"/>
    <w:rsid w:val="00581602"/>
    <w:rsid w:val="00584CF8"/>
    <w:rsid w:val="00593838"/>
    <w:rsid w:val="005A2D8A"/>
    <w:rsid w:val="005A5F07"/>
    <w:rsid w:val="005A7981"/>
    <w:rsid w:val="005D0965"/>
    <w:rsid w:val="005D76A0"/>
    <w:rsid w:val="005E2192"/>
    <w:rsid w:val="005E2D3B"/>
    <w:rsid w:val="005E3A41"/>
    <w:rsid w:val="005E417F"/>
    <w:rsid w:val="005E66F5"/>
    <w:rsid w:val="005E7222"/>
    <w:rsid w:val="005E7A76"/>
    <w:rsid w:val="005F0A1B"/>
    <w:rsid w:val="00621C24"/>
    <w:rsid w:val="00622576"/>
    <w:rsid w:val="00625674"/>
    <w:rsid w:val="00643915"/>
    <w:rsid w:val="00651411"/>
    <w:rsid w:val="00653FC0"/>
    <w:rsid w:val="006612DF"/>
    <w:rsid w:val="00667359"/>
    <w:rsid w:val="00672CF3"/>
    <w:rsid w:val="00690DEE"/>
    <w:rsid w:val="006A096B"/>
    <w:rsid w:val="006A7425"/>
    <w:rsid w:val="006C16C2"/>
    <w:rsid w:val="006D082E"/>
    <w:rsid w:val="006D1CBC"/>
    <w:rsid w:val="006D4057"/>
    <w:rsid w:val="006E19ED"/>
    <w:rsid w:val="006E7E5B"/>
    <w:rsid w:val="006F07C3"/>
    <w:rsid w:val="006F5433"/>
    <w:rsid w:val="006F64B5"/>
    <w:rsid w:val="006F7B15"/>
    <w:rsid w:val="00701661"/>
    <w:rsid w:val="00704727"/>
    <w:rsid w:val="007060B7"/>
    <w:rsid w:val="007128A0"/>
    <w:rsid w:val="00712DF7"/>
    <w:rsid w:val="00715C4F"/>
    <w:rsid w:val="00717A8E"/>
    <w:rsid w:val="007204E2"/>
    <w:rsid w:val="00720D70"/>
    <w:rsid w:val="00721236"/>
    <w:rsid w:val="00722507"/>
    <w:rsid w:val="00722675"/>
    <w:rsid w:val="007314CE"/>
    <w:rsid w:val="00733E29"/>
    <w:rsid w:val="007357E5"/>
    <w:rsid w:val="0073581B"/>
    <w:rsid w:val="00737DC3"/>
    <w:rsid w:val="00737EEF"/>
    <w:rsid w:val="00751190"/>
    <w:rsid w:val="00751D81"/>
    <w:rsid w:val="00753EDA"/>
    <w:rsid w:val="007670D0"/>
    <w:rsid w:val="00774E79"/>
    <w:rsid w:val="00781929"/>
    <w:rsid w:val="007840EA"/>
    <w:rsid w:val="00787236"/>
    <w:rsid w:val="00792227"/>
    <w:rsid w:val="007930D7"/>
    <w:rsid w:val="007943D3"/>
    <w:rsid w:val="00797BA2"/>
    <w:rsid w:val="007A0512"/>
    <w:rsid w:val="007A0836"/>
    <w:rsid w:val="007A32BC"/>
    <w:rsid w:val="007A53F1"/>
    <w:rsid w:val="007A60E4"/>
    <w:rsid w:val="007C23D2"/>
    <w:rsid w:val="007D36A5"/>
    <w:rsid w:val="007D3F00"/>
    <w:rsid w:val="007E3770"/>
    <w:rsid w:val="007F2D80"/>
    <w:rsid w:val="007F3DC0"/>
    <w:rsid w:val="007F59A3"/>
    <w:rsid w:val="00802747"/>
    <w:rsid w:val="00805C54"/>
    <w:rsid w:val="008065DB"/>
    <w:rsid w:val="00837CCE"/>
    <w:rsid w:val="0084346C"/>
    <w:rsid w:val="00850660"/>
    <w:rsid w:val="00857E34"/>
    <w:rsid w:val="0086154B"/>
    <w:rsid w:val="00865353"/>
    <w:rsid w:val="0086692D"/>
    <w:rsid w:val="00872810"/>
    <w:rsid w:val="00874C0B"/>
    <w:rsid w:val="00875037"/>
    <w:rsid w:val="0088182D"/>
    <w:rsid w:val="008A0852"/>
    <w:rsid w:val="008A260B"/>
    <w:rsid w:val="008A346C"/>
    <w:rsid w:val="008B1E9F"/>
    <w:rsid w:val="008B52E0"/>
    <w:rsid w:val="008C0E62"/>
    <w:rsid w:val="008C0EEE"/>
    <w:rsid w:val="008C40E5"/>
    <w:rsid w:val="008C5C3C"/>
    <w:rsid w:val="008D263A"/>
    <w:rsid w:val="008D28ED"/>
    <w:rsid w:val="008D558F"/>
    <w:rsid w:val="008E0AB0"/>
    <w:rsid w:val="008F1822"/>
    <w:rsid w:val="008F50FD"/>
    <w:rsid w:val="008F67B5"/>
    <w:rsid w:val="00904DD1"/>
    <w:rsid w:val="00910593"/>
    <w:rsid w:val="00911D65"/>
    <w:rsid w:val="00912562"/>
    <w:rsid w:val="00917130"/>
    <w:rsid w:val="0092060C"/>
    <w:rsid w:val="009373D5"/>
    <w:rsid w:val="009413C8"/>
    <w:rsid w:val="00942E8B"/>
    <w:rsid w:val="00943758"/>
    <w:rsid w:val="009462B4"/>
    <w:rsid w:val="00952C2E"/>
    <w:rsid w:val="00963024"/>
    <w:rsid w:val="00970C25"/>
    <w:rsid w:val="00975D9D"/>
    <w:rsid w:val="0097669E"/>
    <w:rsid w:val="009822F4"/>
    <w:rsid w:val="009910D5"/>
    <w:rsid w:val="00997C32"/>
    <w:rsid w:val="009A608F"/>
    <w:rsid w:val="009B2B02"/>
    <w:rsid w:val="009B3534"/>
    <w:rsid w:val="009B3C61"/>
    <w:rsid w:val="009C0BF4"/>
    <w:rsid w:val="00A00782"/>
    <w:rsid w:val="00A03C3F"/>
    <w:rsid w:val="00A1408F"/>
    <w:rsid w:val="00A167E6"/>
    <w:rsid w:val="00A31FD0"/>
    <w:rsid w:val="00A34122"/>
    <w:rsid w:val="00A35DAD"/>
    <w:rsid w:val="00A373B4"/>
    <w:rsid w:val="00A45947"/>
    <w:rsid w:val="00A461A6"/>
    <w:rsid w:val="00A46C6D"/>
    <w:rsid w:val="00A61C4A"/>
    <w:rsid w:val="00A6585B"/>
    <w:rsid w:val="00A67478"/>
    <w:rsid w:val="00A70C69"/>
    <w:rsid w:val="00A82A94"/>
    <w:rsid w:val="00A862D3"/>
    <w:rsid w:val="00A863CD"/>
    <w:rsid w:val="00A90347"/>
    <w:rsid w:val="00AA1A90"/>
    <w:rsid w:val="00AA21B1"/>
    <w:rsid w:val="00AA3E70"/>
    <w:rsid w:val="00AA4E0E"/>
    <w:rsid w:val="00AA5D87"/>
    <w:rsid w:val="00AB10F0"/>
    <w:rsid w:val="00AC2B26"/>
    <w:rsid w:val="00AD3F51"/>
    <w:rsid w:val="00AE32DC"/>
    <w:rsid w:val="00AE73E1"/>
    <w:rsid w:val="00AF0B8D"/>
    <w:rsid w:val="00B03F8C"/>
    <w:rsid w:val="00B062A7"/>
    <w:rsid w:val="00B07FFD"/>
    <w:rsid w:val="00B14F01"/>
    <w:rsid w:val="00B22661"/>
    <w:rsid w:val="00B349FD"/>
    <w:rsid w:val="00B35349"/>
    <w:rsid w:val="00B36B64"/>
    <w:rsid w:val="00B3744D"/>
    <w:rsid w:val="00B42B3A"/>
    <w:rsid w:val="00B47215"/>
    <w:rsid w:val="00B47E18"/>
    <w:rsid w:val="00B5168D"/>
    <w:rsid w:val="00B51FB9"/>
    <w:rsid w:val="00B55BE8"/>
    <w:rsid w:val="00B75522"/>
    <w:rsid w:val="00B863DC"/>
    <w:rsid w:val="00B93515"/>
    <w:rsid w:val="00B93D69"/>
    <w:rsid w:val="00B9697F"/>
    <w:rsid w:val="00B96B0C"/>
    <w:rsid w:val="00BA5026"/>
    <w:rsid w:val="00BA573C"/>
    <w:rsid w:val="00BB0C48"/>
    <w:rsid w:val="00BB2084"/>
    <w:rsid w:val="00BC06F6"/>
    <w:rsid w:val="00BC4822"/>
    <w:rsid w:val="00BD1C98"/>
    <w:rsid w:val="00BD1F83"/>
    <w:rsid w:val="00BD432C"/>
    <w:rsid w:val="00BD5DCA"/>
    <w:rsid w:val="00BE0A4F"/>
    <w:rsid w:val="00BE29A8"/>
    <w:rsid w:val="00BF5CA7"/>
    <w:rsid w:val="00C0306B"/>
    <w:rsid w:val="00C15D12"/>
    <w:rsid w:val="00C2046D"/>
    <w:rsid w:val="00C20715"/>
    <w:rsid w:val="00C217CA"/>
    <w:rsid w:val="00C22563"/>
    <w:rsid w:val="00C23FBD"/>
    <w:rsid w:val="00C32221"/>
    <w:rsid w:val="00C34D5A"/>
    <w:rsid w:val="00C41D5C"/>
    <w:rsid w:val="00C50915"/>
    <w:rsid w:val="00C56F80"/>
    <w:rsid w:val="00C74A39"/>
    <w:rsid w:val="00C824A1"/>
    <w:rsid w:val="00C84C87"/>
    <w:rsid w:val="00C85070"/>
    <w:rsid w:val="00C86B7A"/>
    <w:rsid w:val="00C87B33"/>
    <w:rsid w:val="00C90272"/>
    <w:rsid w:val="00C943F1"/>
    <w:rsid w:val="00C955AA"/>
    <w:rsid w:val="00C9676A"/>
    <w:rsid w:val="00CA0D60"/>
    <w:rsid w:val="00CA4960"/>
    <w:rsid w:val="00CB5244"/>
    <w:rsid w:val="00CC3D9C"/>
    <w:rsid w:val="00CD05D6"/>
    <w:rsid w:val="00CD72B7"/>
    <w:rsid w:val="00CE05A3"/>
    <w:rsid w:val="00CE29B2"/>
    <w:rsid w:val="00CE638E"/>
    <w:rsid w:val="00CE6675"/>
    <w:rsid w:val="00CF5754"/>
    <w:rsid w:val="00CF69E2"/>
    <w:rsid w:val="00D15595"/>
    <w:rsid w:val="00D17EEA"/>
    <w:rsid w:val="00D24292"/>
    <w:rsid w:val="00D25053"/>
    <w:rsid w:val="00D30803"/>
    <w:rsid w:val="00D31366"/>
    <w:rsid w:val="00D430A5"/>
    <w:rsid w:val="00D53B18"/>
    <w:rsid w:val="00D6453D"/>
    <w:rsid w:val="00D73E73"/>
    <w:rsid w:val="00D81CAA"/>
    <w:rsid w:val="00D93592"/>
    <w:rsid w:val="00D973E9"/>
    <w:rsid w:val="00D97823"/>
    <w:rsid w:val="00DB2881"/>
    <w:rsid w:val="00DB36B0"/>
    <w:rsid w:val="00DB3CD0"/>
    <w:rsid w:val="00DC1891"/>
    <w:rsid w:val="00DC1D58"/>
    <w:rsid w:val="00DC3C38"/>
    <w:rsid w:val="00DC4F2D"/>
    <w:rsid w:val="00DC6D0A"/>
    <w:rsid w:val="00DD019B"/>
    <w:rsid w:val="00DD4063"/>
    <w:rsid w:val="00DD5C85"/>
    <w:rsid w:val="00DE3670"/>
    <w:rsid w:val="00DE3D34"/>
    <w:rsid w:val="00DE3E65"/>
    <w:rsid w:val="00DE6E15"/>
    <w:rsid w:val="00DE7162"/>
    <w:rsid w:val="00DF3A3B"/>
    <w:rsid w:val="00E01966"/>
    <w:rsid w:val="00E0623A"/>
    <w:rsid w:val="00E177AD"/>
    <w:rsid w:val="00E27111"/>
    <w:rsid w:val="00E27FCD"/>
    <w:rsid w:val="00E42747"/>
    <w:rsid w:val="00E4479C"/>
    <w:rsid w:val="00E45F07"/>
    <w:rsid w:val="00E5701E"/>
    <w:rsid w:val="00E60C5B"/>
    <w:rsid w:val="00E62721"/>
    <w:rsid w:val="00E64A24"/>
    <w:rsid w:val="00E65B89"/>
    <w:rsid w:val="00E6656C"/>
    <w:rsid w:val="00E70AF3"/>
    <w:rsid w:val="00E82A81"/>
    <w:rsid w:val="00E83456"/>
    <w:rsid w:val="00E92193"/>
    <w:rsid w:val="00E922E6"/>
    <w:rsid w:val="00E97D23"/>
    <w:rsid w:val="00EA5076"/>
    <w:rsid w:val="00EB4281"/>
    <w:rsid w:val="00EB6DC6"/>
    <w:rsid w:val="00EC0C52"/>
    <w:rsid w:val="00EC1D25"/>
    <w:rsid w:val="00EC2117"/>
    <w:rsid w:val="00EC2DA9"/>
    <w:rsid w:val="00ED0374"/>
    <w:rsid w:val="00ED201A"/>
    <w:rsid w:val="00ED7202"/>
    <w:rsid w:val="00EE6303"/>
    <w:rsid w:val="00EF2309"/>
    <w:rsid w:val="00F02A09"/>
    <w:rsid w:val="00F072AB"/>
    <w:rsid w:val="00F25840"/>
    <w:rsid w:val="00F42056"/>
    <w:rsid w:val="00F44667"/>
    <w:rsid w:val="00F45F8A"/>
    <w:rsid w:val="00F54666"/>
    <w:rsid w:val="00F60A91"/>
    <w:rsid w:val="00F6532A"/>
    <w:rsid w:val="00F700A9"/>
    <w:rsid w:val="00F74E47"/>
    <w:rsid w:val="00F909D5"/>
    <w:rsid w:val="00F91FB5"/>
    <w:rsid w:val="00F9265B"/>
    <w:rsid w:val="00F94189"/>
    <w:rsid w:val="00F95349"/>
    <w:rsid w:val="00F97E34"/>
    <w:rsid w:val="00FA3212"/>
    <w:rsid w:val="00FA7FB2"/>
    <w:rsid w:val="00FB00CC"/>
    <w:rsid w:val="00FB39FD"/>
    <w:rsid w:val="00FB5114"/>
    <w:rsid w:val="00FB6D01"/>
    <w:rsid w:val="00FB7F10"/>
    <w:rsid w:val="00FC65E1"/>
    <w:rsid w:val="00FC6E67"/>
    <w:rsid w:val="00FD0D20"/>
    <w:rsid w:val="00FE73A0"/>
    <w:rsid w:val="00FF0AB1"/>
    <w:rsid w:val="00FF50AC"/>
    <w:rsid w:val="02970A5E"/>
    <w:rsid w:val="03470552"/>
    <w:rsid w:val="042F46EF"/>
    <w:rsid w:val="0432DABF"/>
    <w:rsid w:val="07722AFF"/>
    <w:rsid w:val="0BE9E5ED"/>
    <w:rsid w:val="0C39737E"/>
    <w:rsid w:val="0C45E0A5"/>
    <w:rsid w:val="0D3DD9D6"/>
    <w:rsid w:val="0EB724EC"/>
    <w:rsid w:val="0F2E5E75"/>
    <w:rsid w:val="0FE49749"/>
    <w:rsid w:val="1450EC0F"/>
    <w:rsid w:val="17943F36"/>
    <w:rsid w:val="1C5784CE"/>
    <w:rsid w:val="1D200AAD"/>
    <w:rsid w:val="1D2A31DE"/>
    <w:rsid w:val="1DDF401A"/>
    <w:rsid w:val="1DF3552F"/>
    <w:rsid w:val="1F8F2590"/>
    <w:rsid w:val="1FED6AE0"/>
    <w:rsid w:val="2162162C"/>
    <w:rsid w:val="238EE78A"/>
    <w:rsid w:val="23ED69C0"/>
    <w:rsid w:val="28BD19AB"/>
    <w:rsid w:val="2D908ACE"/>
    <w:rsid w:val="2EE4138F"/>
    <w:rsid w:val="307FE3F0"/>
    <w:rsid w:val="3630A3BC"/>
    <w:rsid w:val="36EF17D6"/>
    <w:rsid w:val="409ACC76"/>
    <w:rsid w:val="43555618"/>
    <w:rsid w:val="458DF1F3"/>
    <w:rsid w:val="46E88575"/>
    <w:rsid w:val="473C5607"/>
    <w:rsid w:val="4C7FED45"/>
    <w:rsid w:val="4CB354F7"/>
    <w:rsid w:val="4F4767EC"/>
    <w:rsid w:val="52C9BDE1"/>
    <w:rsid w:val="534F2752"/>
    <w:rsid w:val="568F8821"/>
    <w:rsid w:val="5965530C"/>
    <w:rsid w:val="5A6686F2"/>
    <w:rsid w:val="5DC714DF"/>
    <w:rsid w:val="5E925011"/>
    <w:rsid w:val="5F88C71F"/>
    <w:rsid w:val="6154B8DC"/>
    <w:rsid w:val="64C7C8F5"/>
    <w:rsid w:val="6526EE41"/>
    <w:rsid w:val="674069C5"/>
    <w:rsid w:val="6C75AB6D"/>
    <w:rsid w:val="6CC43A83"/>
    <w:rsid w:val="6EE2D00C"/>
    <w:rsid w:val="6F870651"/>
    <w:rsid w:val="7126DCC1"/>
    <w:rsid w:val="73FD1B8B"/>
    <w:rsid w:val="7405C470"/>
    <w:rsid w:val="782A7E16"/>
    <w:rsid w:val="7B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character" w:customStyle="1" w:styleId="normaltextrun">
    <w:name w:val="normaltextrun"/>
    <w:basedOn w:val="Domylnaczcionkaakapitu"/>
    <w:rsid w:val="001741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0A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0A0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0A0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maj@zoom-bsc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ikrow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otr.jasinski@zoom-bs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Jasiński</dc:creator>
  <cp:keywords/>
  <dc:description/>
  <cp:lastModifiedBy>Magdalena Derlukiewicz</cp:lastModifiedBy>
  <cp:revision>6</cp:revision>
  <dcterms:created xsi:type="dcterms:W3CDTF">2022-12-14T14:24:00Z</dcterms:created>
  <dcterms:modified xsi:type="dcterms:W3CDTF">2023-02-10T15:17:00Z</dcterms:modified>
</cp:coreProperties>
</file>